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B79128">
      <w:pPr>
        <w:tabs>
          <w:tab w:val="center" w:pos="4595"/>
          <w:tab w:val="right" w:pos="9070"/>
        </w:tabs>
        <w:spacing w:before="60" w:after="60" w:line="288" w:lineRule="auto"/>
        <w:jc w:val="left"/>
        <w:rPr>
          <w:rFonts w:hint="default" w:ascii="宋体" w:hAnsi="宋体"/>
          <w:b/>
          <w:bCs/>
          <w:sz w:val="28"/>
          <w:szCs w:val="28"/>
          <w:lang w:val="en-US" w:eastAsia="zh-CN"/>
        </w:rPr>
      </w:pPr>
      <w:r>
        <w:rPr>
          <w:rFonts w:hint="default" w:ascii="宋体" w:hAnsi="宋体"/>
          <w:b/>
          <w:bCs/>
          <w:sz w:val="28"/>
          <w:szCs w:val="28"/>
          <w:lang w:val="en-US" w:eastAsia="zh-CN"/>
        </w:rPr>
        <w:tab/>
      </w:r>
      <w:r>
        <w:rPr>
          <w:rFonts w:hint="eastAsia" w:ascii="宋体" w:hAnsi="宋体"/>
          <w:b/>
          <w:bCs/>
          <w:sz w:val="28"/>
          <w:szCs w:val="28"/>
          <w:lang w:val="en-US" w:eastAsia="zh-CN"/>
        </w:rPr>
        <w:t xml:space="preserve">乙型肝炎病毒e抗体标准操作规程   </w:t>
      </w:r>
      <w:r>
        <w:rPr>
          <w:rFonts w:hint="default" w:ascii="宋体" w:hAnsi="宋体"/>
          <w:b/>
          <w:bCs/>
          <w:sz w:val="28"/>
          <w:szCs w:val="28"/>
          <w:lang w:val="en-US" w:eastAsia="zh-CN"/>
        </w:rPr>
        <w:tab/>
      </w:r>
    </w:p>
    <w:p w14:paraId="49487B54">
      <w:pPr>
        <w:tabs>
          <w:tab w:val="right" w:pos="8306"/>
        </w:tabs>
        <w:autoSpaceDE w:val="0"/>
        <w:autoSpaceDN w:val="0"/>
        <w:adjustRightInd w:val="0"/>
        <w:spacing w:after="125" w:line="360" w:lineRule="auto"/>
        <w:jc w:val="left"/>
        <w:rPr>
          <w:rFonts w:hint="eastAsia" w:ascii="宋体" w:hAnsi="宋体" w:cs="黑体"/>
          <w:b/>
          <w:bCs/>
          <w:color w:val="000000"/>
          <w:sz w:val="21"/>
          <w:szCs w:val="21"/>
        </w:rPr>
      </w:pPr>
      <w:r>
        <w:rPr>
          <w:rFonts w:ascii="宋体" w:hAnsi="宋体" w:cs="黑体"/>
          <w:b/>
          <w:bCs/>
          <w:color w:val="000000"/>
          <w:sz w:val="21"/>
          <w:szCs w:val="21"/>
        </w:rPr>
        <w:t xml:space="preserve">1 </w:t>
      </w:r>
      <w:r>
        <w:rPr>
          <w:rFonts w:hint="eastAsia" w:ascii="宋体" w:hAnsi="宋体" w:cs="黑体"/>
          <w:b/>
          <w:bCs/>
          <w:color w:val="000000"/>
          <w:sz w:val="21"/>
          <w:szCs w:val="21"/>
        </w:rPr>
        <w:t>承担部门</w:t>
      </w:r>
      <w:r>
        <w:rPr>
          <w:rFonts w:ascii="宋体" w:hAnsi="宋体" w:cs="黑体"/>
          <w:b/>
          <w:bCs/>
          <w:color w:val="000000"/>
          <w:sz w:val="21"/>
          <w:szCs w:val="21"/>
        </w:rPr>
        <w:tab/>
      </w:r>
    </w:p>
    <w:p w14:paraId="1A2A40EE">
      <w:pPr>
        <w:autoSpaceDE w:val="0"/>
        <w:autoSpaceDN w:val="0"/>
        <w:adjustRightInd w:val="0"/>
        <w:spacing w:after="125" w:line="360" w:lineRule="auto"/>
        <w:ind w:firstLine="420" w:firstLineChars="0"/>
        <w:jc w:val="left"/>
        <w:rPr>
          <w:rFonts w:hint="eastAsia" w:ascii="宋体" w:hAns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  <w:lang w:val="en-US" w:eastAsia="zh-CN"/>
        </w:rPr>
        <w:t>安亭</w:t>
      </w:r>
      <w:r>
        <w:rPr>
          <w:rFonts w:hint="eastAsia" w:ascii="宋体" w:hAnsi="宋体" w:cs="宋体"/>
          <w:color w:val="000000"/>
          <w:szCs w:val="21"/>
        </w:rPr>
        <w:t>医院</w:t>
      </w:r>
      <w:r>
        <w:rPr>
          <w:rFonts w:hint="eastAsia" w:ascii="宋体" w:hAnsi="宋体" w:cs="宋体"/>
          <w:color w:val="000000"/>
          <w:szCs w:val="21"/>
          <w:lang w:val="en-US" w:eastAsia="zh-CN"/>
        </w:rPr>
        <w:t>检验</w:t>
      </w:r>
      <w:r>
        <w:rPr>
          <w:rFonts w:hint="eastAsia" w:ascii="宋体" w:hAnsi="宋体" w:cs="宋体"/>
          <w:color w:val="000000"/>
          <w:szCs w:val="21"/>
        </w:rPr>
        <w:t>科</w:t>
      </w:r>
      <w:r>
        <w:rPr>
          <w:rFonts w:hint="eastAsia" w:ascii="宋体" w:hAnsi="宋体" w:cs="宋体"/>
          <w:color w:val="000000"/>
          <w:szCs w:val="21"/>
          <w:lang w:val="en-US" w:eastAsia="zh-CN"/>
        </w:rPr>
        <w:t>生化免疫</w:t>
      </w:r>
      <w:r>
        <w:rPr>
          <w:rFonts w:hint="eastAsia" w:ascii="宋体" w:hAnsi="宋体" w:cs="宋体"/>
          <w:color w:val="000000"/>
          <w:szCs w:val="21"/>
        </w:rPr>
        <w:t>组。</w:t>
      </w:r>
    </w:p>
    <w:p w14:paraId="0E41FA1E">
      <w:pPr>
        <w:autoSpaceDE w:val="0"/>
        <w:autoSpaceDN w:val="0"/>
        <w:adjustRightInd w:val="0"/>
        <w:spacing w:after="125" w:line="360" w:lineRule="auto"/>
        <w:jc w:val="left"/>
        <w:rPr>
          <w:rFonts w:hint="eastAsia" w:ascii="宋体" w:hAnsi="宋体" w:eastAsia="宋体" w:cs="黑体"/>
          <w:b/>
          <w:bCs/>
          <w:color w:val="000000"/>
          <w:szCs w:val="21"/>
          <w:lang w:eastAsia="zh-CN"/>
        </w:rPr>
      </w:pPr>
      <w:r>
        <w:rPr>
          <w:rFonts w:ascii="宋体" w:hAnsi="宋体" w:cs="黑体"/>
          <w:b/>
          <w:bCs/>
          <w:color w:val="000000"/>
          <w:szCs w:val="21"/>
        </w:rPr>
        <w:t xml:space="preserve">2 </w:t>
      </w:r>
      <w:r>
        <w:rPr>
          <w:rFonts w:hint="eastAsia" w:ascii="宋体" w:hAnsi="宋体" w:cs="黑体"/>
          <w:b/>
          <w:bCs/>
          <w:color w:val="000000"/>
          <w:szCs w:val="21"/>
        </w:rPr>
        <w:t>检验目的</w:t>
      </w:r>
    </w:p>
    <w:p w14:paraId="6A31A00C">
      <w:pPr>
        <w:pStyle w:val="37"/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ind w:firstLine="420" w:firstLineChars="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规范乙型肝炎病毒e抗体（Anti-HBe）的检测实验，确保检测结果的准确性和重复性。</w:t>
      </w:r>
    </w:p>
    <w:p w14:paraId="6D648EAE">
      <w:pPr>
        <w:autoSpaceDE w:val="0"/>
        <w:autoSpaceDN w:val="0"/>
        <w:adjustRightInd w:val="0"/>
        <w:spacing w:after="125" w:line="360" w:lineRule="auto"/>
        <w:jc w:val="left"/>
        <w:rPr>
          <w:rFonts w:hint="eastAsia" w:ascii="宋体" w:hAnsi="宋体" w:cs="黑体"/>
          <w:b/>
          <w:bCs/>
          <w:color w:val="000000"/>
          <w:szCs w:val="21"/>
        </w:rPr>
      </w:pPr>
      <w:r>
        <w:rPr>
          <w:rFonts w:ascii="宋体" w:hAnsi="宋体" w:cs="黑体"/>
          <w:b/>
          <w:bCs/>
          <w:color w:val="000000"/>
          <w:szCs w:val="21"/>
        </w:rPr>
        <w:t xml:space="preserve">3 </w:t>
      </w:r>
      <w:r>
        <w:rPr>
          <w:rFonts w:hint="eastAsia" w:ascii="宋体" w:hAnsi="宋体" w:cs="黑体"/>
          <w:b/>
          <w:bCs/>
          <w:color w:val="000000"/>
          <w:szCs w:val="21"/>
        </w:rPr>
        <w:t>原理和方法</w:t>
      </w:r>
    </w:p>
    <w:p w14:paraId="050165A0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0"/>
        <w:jc w:val="left"/>
        <w:textAlignment w:val="auto"/>
        <w:rPr>
          <w:rFonts w:hint="eastAsia" w:ascii="宋体" w:hAnsi="宋体" w:cs="宋体"/>
          <w:color w:val="000000"/>
          <w:szCs w:val="21"/>
        </w:rPr>
      </w:pPr>
      <w:r>
        <w:rPr>
          <w:rFonts w:hint="eastAsia" w:ascii="宋体" w:hAnsi="宋体" w:eastAsia="宋体" w:cs="宋体"/>
          <w:color w:val="000000"/>
          <w:szCs w:val="21"/>
        </w:rPr>
        <w:t>化学发光微粒子免疫检测法（CMIA）</w:t>
      </w:r>
      <w:r>
        <w:rPr>
          <w:rFonts w:hint="eastAsia" w:ascii="宋体" w:hAnsi="宋体" w:cs="宋体"/>
          <w:color w:val="000000"/>
          <w:szCs w:val="21"/>
          <w:lang w:eastAsia="zh-CN"/>
        </w:rPr>
        <w:t>：</w:t>
      </w:r>
      <w:r>
        <w:rPr>
          <w:rFonts w:hint="eastAsia" w:ascii="宋体" w:hAnsi="宋体" w:eastAsia="宋体" w:cs="宋体"/>
          <w:kern w:val="0"/>
          <w:sz w:val="21"/>
          <w:szCs w:val="21"/>
        </w:rPr>
        <w:t>乙型肝炎病毒e抗体项目采用竞争两步法免疫检测，运用Chemiflex技术，即CMIA技术与灵活的检测模式的结合，定性测定人血清和血浆中的乙型肝炎病毒e抗体。</w:t>
      </w:r>
    </w:p>
    <w:p w14:paraId="7CA13987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jc w:val="left"/>
        <w:textAlignment w:val="auto"/>
        <w:rPr>
          <w:rFonts w:hint="eastAsia" w:ascii="宋体" w:hAnsi="宋体" w:cs="黑体"/>
          <w:b/>
          <w:bCs/>
          <w:color w:val="auto"/>
          <w:szCs w:val="21"/>
        </w:rPr>
      </w:pPr>
      <w:r>
        <w:rPr>
          <w:rFonts w:ascii="宋体" w:hAnsi="宋体" w:cs="黑体"/>
          <w:b/>
          <w:bCs/>
          <w:color w:val="auto"/>
          <w:szCs w:val="21"/>
        </w:rPr>
        <w:t>4</w:t>
      </w:r>
      <w:r>
        <w:rPr>
          <w:rFonts w:hint="eastAsia" w:ascii="宋体" w:hAnsi="宋体" w:cs="黑体"/>
          <w:b/>
          <w:bCs/>
          <w:color w:val="auto"/>
          <w:szCs w:val="21"/>
          <w:lang w:val="en-US" w:eastAsia="zh-CN"/>
        </w:rPr>
        <w:t xml:space="preserve"> </w:t>
      </w:r>
      <w:r>
        <w:rPr>
          <w:rFonts w:hint="eastAsia" w:ascii="宋体" w:hAnsi="宋体" w:cs="黑体"/>
          <w:b/>
          <w:bCs/>
          <w:color w:val="auto"/>
          <w:szCs w:val="21"/>
        </w:rPr>
        <w:t>性能特征</w:t>
      </w:r>
    </w:p>
    <w:p w14:paraId="179F5F20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napToGrid w:val="0"/>
        <w:spacing w:line="360" w:lineRule="auto"/>
        <w:ind w:firstLine="840" w:firstLineChars="400"/>
        <w:textAlignment w:val="auto"/>
        <w:rPr>
          <w:rFonts w:hint="eastAsia" w:ascii="宋体" w:hAnsi="宋体" w:eastAsia="宋体" w:cs="宋体"/>
          <w:color w:val="auto"/>
          <w:kern w:val="0"/>
          <w:sz w:val="21"/>
          <w:szCs w:val="21"/>
          <w:lang w:eastAsia="zh-CN"/>
        </w:rPr>
      </w:pPr>
      <w:r>
        <w:rPr>
          <w:rFonts w:ascii="宋体" w:hAnsi="宋体" w:cs="黑体"/>
          <w:color w:val="auto"/>
          <w:szCs w:val="21"/>
        </w:rPr>
        <w:t>4.1</w:t>
      </w:r>
      <w:r>
        <w:rPr>
          <w:rFonts w:hint="eastAsia" w:ascii="宋体" w:hAnsi="宋体"/>
          <w:color w:val="auto"/>
          <w:lang w:val="en-US" w:eastAsia="zh-CN"/>
        </w:rPr>
        <w:t>雅培</w:t>
      </w:r>
      <w:r>
        <w:rPr>
          <w:rFonts w:hint="eastAsia" w:ascii="宋体" w:hAnsi="宋体"/>
          <w:color w:val="auto"/>
        </w:rPr>
        <w:t>Alinity</w:t>
      </w:r>
      <w:r>
        <w:rPr>
          <w:rFonts w:hint="eastAsia" w:ascii="宋体" w:hAnsi="宋体"/>
          <w:color w:val="auto"/>
          <w:lang w:val="en-US" w:eastAsia="zh-CN"/>
        </w:rPr>
        <w:t xml:space="preserve"> </w:t>
      </w:r>
      <w:r>
        <w:rPr>
          <w:rFonts w:hint="eastAsia" w:ascii="宋体" w:hAnsi="宋体"/>
          <w:color w:val="auto"/>
        </w:rPr>
        <w:t>i</w:t>
      </w:r>
      <w:r>
        <w:rPr>
          <w:rFonts w:hint="eastAsia" w:ascii="宋体" w:hAnsi="宋体" w:cs="宋体"/>
          <w:color w:val="auto"/>
          <w:szCs w:val="21"/>
        </w:rPr>
        <w:t>检测系统的性能特征：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精密度：</w:t>
      </w:r>
      <w:r>
        <w:rPr>
          <w:rFonts w:hint="eastAsia" w:ascii="宋体" w:hAnsi="宋体" w:eastAsia="宋体" w:cs="宋体"/>
          <w:kern w:val="0"/>
          <w:sz w:val="21"/>
          <w:szCs w:val="21"/>
        </w:rPr>
        <w:t>乙型肝炎病毒e抗体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 xml:space="preserve">项目的精密度 ≤ 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val="en-US" w:eastAsia="zh-CN"/>
        </w:rPr>
        <w:t>10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%</w:t>
      </w:r>
      <w:r>
        <w:rPr>
          <w:rFonts w:hint="eastAsia" w:ascii="宋体" w:hAnsi="宋体" w:cs="宋体"/>
          <w:color w:val="auto"/>
          <w:kern w:val="0"/>
          <w:sz w:val="21"/>
          <w:szCs w:val="21"/>
          <w:highlight w:val="none"/>
          <w:lang w:eastAsia="zh-CN"/>
        </w:rPr>
        <w:t>；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灵敏度：</w:t>
      </w:r>
      <w:r>
        <w:rPr>
          <w:rFonts w:hint="eastAsia" w:ascii="宋体" w:hAnsi="宋体" w:eastAsia="宋体" w:cs="宋体"/>
          <w:kern w:val="0"/>
          <w:sz w:val="21"/>
          <w:szCs w:val="21"/>
        </w:rPr>
        <w:t>乙型肝炎病毒e抗体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项目的分析灵敏度 ≥99.5%</w:t>
      </w:r>
      <w:r>
        <w:rPr>
          <w:rFonts w:hint="eastAsia" w:ascii="宋体" w:hAnsi="宋体" w:cs="宋体"/>
          <w:color w:val="auto"/>
          <w:kern w:val="0"/>
          <w:sz w:val="21"/>
          <w:szCs w:val="21"/>
          <w:lang w:eastAsia="zh-CN"/>
        </w:rPr>
        <w:t>；</w:t>
      </w:r>
      <w:r>
        <w:rPr>
          <w:rFonts w:hint="eastAsia" w:ascii="宋体" w:hAnsi="宋体"/>
        </w:rPr>
        <w:t>线性范围：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0-700 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S/CO</w:t>
      </w:r>
      <w:r>
        <w:rPr>
          <w:rFonts w:hint="eastAsia" w:ascii="宋体" w:hAnsi="宋体"/>
        </w:rPr>
        <w:t>。</w:t>
      </w:r>
    </w:p>
    <w:p w14:paraId="684A7D00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0"/>
        <w:jc w:val="left"/>
        <w:textAlignment w:val="auto"/>
        <w:rPr>
          <w:rFonts w:hint="eastAsia" w:ascii="宋体" w:hAnsi="宋体" w:eastAsia="宋体" w:cs="宋体"/>
          <w:color w:val="FF0000"/>
          <w:sz w:val="21"/>
          <w:szCs w:val="21"/>
        </w:rPr>
      </w:pPr>
      <w:r>
        <w:rPr>
          <w:rFonts w:ascii="宋体" w:hAnsi="宋体" w:cs="黑体"/>
          <w:color w:val="auto"/>
          <w:szCs w:val="21"/>
          <w:highlight w:val="none"/>
        </w:rPr>
        <w:t xml:space="preserve">4.2 </w:t>
      </w:r>
      <w:r>
        <w:rPr>
          <w:rFonts w:hint="eastAsia" w:ascii="宋体" w:hAnsi="宋体" w:cs="宋体"/>
          <w:color w:val="auto"/>
          <w:szCs w:val="21"/>
          <w:highlight w:val="none"/>
        </w:rPr>
        <w:t>性能验证操作详见编号</w:t>
      </w:r>
      <w:r>
        <w:rPr>
          <w:rFonts w:ascii="宋体" w:hAnsi="宋体" w:cs="宋体"/>
          <w:color w:val="auto"/>
          <w:szCs w:val="21"/>
          <w:highlight w:val="none"/>
        </w:rPr>
        <w:t>XXX</w:t>
      </w:r>
      <w:r>
        <w:rPr>
          <w:rFonts w:hint="eastAsia" w:ascii="宋体" w:hAnsi="宋体" w:cs="宋体"/>
          <w:color w:val="auto"/>
          <w:szCs w:val="21"/>
          <w:highlight w:val="none"/>
        </w:rPr>
        <w:t>的《</w:t>
      </w:r>
      <w:r>
        <w:rPr>
          <w:rFonts w:ascii="宋体" w:hAnsi="宋体" w:cs="宋体"/>
          <w:color w:val="auto"/>
          <w:szCs w:val="21"/>
          <w:highlight w:val="none"/>
        </w:rPr>
        <w:t>XXX</w:t>
      </w:r>
      <w:r>
        <w:rPr>
          <w:rFonts w:hint="eastAsia" w:ascii="宋体" w:hAnsi="宋体" w:cs="宋体"/>
          <w:color w:val="auto"/>
          <w:szCs w:val="21"/>
          <w:highlight w:val="none"/>
        </w:rPr>
        <w:t>检测系统血清</w:t>
      </w:r>
      <w:r>
        <w:rPr>
          <w:rFonts w:hint="eastAsia" w:ascii="宋体" w:hAnsi="宋体" w:eastAsia="宋体" w:cs="宋体"/>
          <w:kern w:val="0"/>
          <w:sz w:val="21"/>
          <w:szCs w:val="21"/>
        </w:rPr>
        <w:t>乙型肝炎病毒e抗体</w:t>
      </w:r>
      <w:r>
        <w:rPr>
          <w:rFonts w:hint="eastAsia" w:ascii="宋体" w:hAnsi="宋体" w:cs="宋体"/>
          <w:color w:val="auto"/>
          <w:szCs w:val="21"/>
          <w:highlight w:val="none"/>
        </w:rPr>
        <w:t>测定性能验证标准操作程序》</w:t>
      </w:r>
      <w:r>
        <w:rPr>
          <w:rFonts w:hint="eastAsia" w:ascii="宋体" w:hAnsi="宋体" w:eastAsia="宋体" w:cs="宋体"/>
          <w:kern w:val="0"/>
          <w:sz w:val="21"/>
          <w:szCs w:val="21"/>
        </w:rPr>
        <w:t>。</w:t>
      </w:r>
    </w:p>
    <w:p w14:paraId="2860E4B7">
      <w:pPr>
        <w:autoSpaceDE w:val="0"/>
        <w:autoSpaceDN w:val="0"/>
        <w:adjustRightInd w:val="0"/>
        <w:spacing w:after="125" w:line="360" w:lineRule="auto"/>
        <w:jc w:val="left"/>
        <w:rPr>
          <w:rFonts w:hint="eastAsia" w:ascii="宋体" w:hAnsi="宋体" w:cs="黑体"/>
          <w:b/>
          <w:bCs/>
          <w:color w:val="000000"/>
          <w:szCs w:val="21"/>
        </w:rPr>
      </w:pPr>
      <w:r>
        <w:rPr>
          <w:rFonts w:ascii="宋体" w:hAnsi="宋体" w:cs="黑体"/>
          <w:b/>
          <w:bCs/>
          <w:color w:val="000000"/>
          <w:szCs w:val="21"/>
        </w:rPr>
        <w:t xml:space="preserve">5 </w:t>
      </w:r>
      <w:r>
        <w:rPr>
          <w:rFonts w:hint="eastAsia" w:ascii="宋体" w:hAnsi="宋体" w:cs="黑体"/>
          <w:b/>
          <w:bCs/>
          <w:color w:val="000000"/>
          <w:szCs w:val="21"/>
        </w:rPr>
        <w:t>标本类型</w:t>
      </w:r>
    </w:p>
    <w:p w14:paraId="28331946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cs="宋体"/>
          <w:color w:val="000000"/>
          <w:szCs w:val="21"/>
        </w:rPr>
      </w:pPr>
      <w:r>
        <w:rPr>
          <w:rFonts w:ascii="宋体" w:hAnsi="宋体" w:cs="黑体"/>
          <w:color w:val="000000"/>
          <w:szCs w:val="21"/>
        </w:rPr>
        <w:t xml:space="preserve">5.1 </w:t>
      </w:r>
      <w:r>
        <w:rPr>
          <w:rFonts w:hint="eastAsia" w:ascii="宋体" w:hAnsi="宋体" w:cs="宋体"/>
          <w:color w:val="000000"/>
          <w:szCs w:val="21"/>
        </w:rPr>
        <w:t>标本类型：血清。</w:t>
      </w:r>
    </w:p>
    <w:p w14:paraId="4B5D4F45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cs="宋体"/>
          <w:color w:val="000000"/>
          <w:szCs w:val="21"/>
        </w:rPr>
      </w:pPr>
      <w:r>
        <w:rPr>
          <w:rFonts w:ascii="宋体" w:hAnsi="宋体" w:cs="黑体"/>
          <w:color w:val="000000"/>
          <w:szCs w:val="21"/>
        </w:rPr>
        <w:t xml:space="preserve">5.2 </w:t>
      </w:r>
      <w:r>
        <w:rPr>
          <w:rFonts w:hint="eastAsia" w:ascii="宋体" w:hAnsi="宋体" w:cs="宋体"/>
          <w:color w:val="000000"/>
          <w:szCs w:val="21"/>
        </w:rPr>
        <w:t>静脉采血：一般取坐位，采血前至少应静坐</w:t>
      </w:r>
      <w:r>
        <w:rPr>
          <w:rFonts w:ascii="宋体" w:hAnsi="宋体" w:cs="宋体"/>
          <w:color w:val="000000"/>
          <w:szCs w:val="21"/>
        </w:rPr>
        <w:t>5min</w:t>
      </w:r>
      <w:r>
        <w:rPr>
          <w:rFonts w:hint="eastAsia" w:ascii="宋体" w:hAnsi="宋体" w:cs="宋体"/>
          <w:color w:val="000000"/>
          <w:szCs w:val="21"/>
        </w:rPr>
        <w:t>（最好＞</w:t>
      </w:r>
      <w:r>
        <w:rPr>
          <w:rFonts w:ascii="宋体" w:hAnsi="宋体" w:cs="宋体"/>
          <w:color w:val="000000"/>
          <w:szCs w:val="21"/>
        </w:rPr>
        <w:t>20min</w:t>
      </w:r>
      <w:r>
        <w:rPr>
          <w:rFonts w:hint="eastAsia" w:ascii="宋体" w:hAnsi="宋体" w:cs="宋体"/>
          <w:color w:val="000000"/>
          <w:szCs w:val="21"/>
        </w:rPr>
        <w:t>）</w:t>
      </w:r>
      <w:r>
        <w:rPr>
          <w:rFonts w:ascii="宋体" w:hAnsi="宋体" w:cs="宋体"/>
          <w:color w:val="000000"/>
          <w:szCs w:val="21"/>
        </w:rPr>
        <w:t xml:space="preserve"> </w:t>
      </w:r>
      <w:r>
        <w:rPr>
          <w:rFonts w:hint="eastAsia" w:ascii="宋体" w:hAnsi="宋体" w:cs="宋体"/>
          <w:color w:val="000000"/>
          <w:szCs w:val="21"/>
        </w:rPr>
        <w:t>。</w:t>
      </w:r>
    </w:p>
    <w:p w14:paraId="55B6F6C9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cs="宋体"/>
          <w:color w:val="000000"/>
          <w:szCs w:val="21"/>
        </w:rPr>
      </w:pPr>
      <w:r>
        <w:rPr>
          <w:rFonts w:ascii="宋体" w:hAnsi="宋体" w:cs="黑体"/>
          <w:color w:val="000000"/>
          <w:szCs w:val="21"/>
        </w:rPr>
        <w:t xml:space="preserve">5.3 </w:t>
      </w:r>
      <w:r>
        <w:rPr>
          <w:rFonts w:hint="eastAsia" w:ascii="宋体" w:hAnsi="宋体" w:cs="宋体"/>
          <w:color w:val="000000"/>
          <w:szCs w:val="21"/>
        </w:rPr>
        <w:t>标本量：常规全血</w:t>
      </w:r>
      <w:r>
        <w:rPr>
          <w:rFonts w:ascii="宋体" w:hAnsi="宋体" w:cs="宋体"/>
          <w:color w:val="000000"/>
          <w:szCs w:val="21"/>
        </w:rPr>
        <w:t>3mL</w:t>
      </w:r>
      <w:r>
        <w:rPr>
          <w:rFonts w:hint="eastAsia" w:ascii="宋体" w:hAnsi="宋体" w:cs="宋体"/>
          <w:color w:val="000000"/>
          <w:szCs w:val="21"/>
        </w:rPr>
        <w:t>～</w:t>
      </w:r>
      <w:r>
        <w:rPr>
          <w:rFonts w:ascii="宋体" w:hAnsi="宋体" w:cs="宋体"/>
          <w:color w:val="000000"/>
          <w:szCs w:val="21"/>
        </w:rPr>
        <w:t>5mL</w:t>
      </w:r>
      <w:r>
        <w:rPr>
          <w:rFonts w:hint="eastAsia" w:ascii="宋体" w:hAnsi="宋体" w:cs="宋体"/>
          <w:color w:val="000000"/>
          <w:szCs w:val="21"/>
        </w:rPr>
        <w:t>（最少</w:t>
      </w:r>
      <w:r>
        <w:rPr>
          <w:rFonts w:ascii="宋体" w:hAnsi="宋体" w:cs="宋体"/>
          <w:color w:val="000000"/>
          <w:szCs w:val="21"/>
        </w:rPr>
        <w:t>2mL</w:t>
      </w:r>
      <w:r>
        <w:rPr>
          <w:rFonts w:hint="eastAsia" w:ascii="宋体" w:hAnsi="宋体" w:cs="宋体"/>
          <w:color w:val="000000"/>
          <w:szCs w:val="21"/>
        </w:rPr>
        <w:t>）</w:t>
      </w:r>
      <w:r>
        <w:rPr>
          <w:rFonts w:ascii="宋体" w:hAnsi="宋体" w:cs="宋体"/>
          <w:color w:val="000000"/>
          <w:szCs w:val="21"/>
        </w:rPr>
        <w:t xml:space="preserve"> </w:t>
      </w:r>
      <w:r>
        <w:rPr>
          <w:rFonts w:hint="eastAsia" w:ascii="宋体" w:hAnsi="宋体" w:cs="宋体"/>
          <w:color w:val="000000"/>
          <w:szCs w:val="21"/>
        </w:rPr>
        <w:t>。</w:t>
      </w:r>
    </w:p>
    <w:p w14:paraId="67266C5C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cs="宋体"/>
          <w:color w:val="000000"/>
          <w:szCs w:val="21"/>
        </w:rPr>
      </w:pPr>
      <w:r>
        <w:rPr>
          <w:rFonts w:ascii="宋体" w:hAnsi="宋体" w:cs="黑体"/>
          <w:color w:val="000000"/>
          <w:szCs w:val="21"/>
        </w:rPr>
        <w:t xml:space="preserve">5.4 </w:t>
      </w:r>
      <w:r>
        <w:rPr>
          <w:rFonts w:hint="eastAsia" w:ascii="宋体" w:hAnsi="宋体" w:cs="宋体"/>
          <w:color w:val="000000"/>
          <w:szCs w:val="21"/>
        </w:rPr>
        <w:t>混匀方法：采血后试管轻柔颠倒混匀不少于</w:t>
      </w:r>
      <w:r>
        <w:rPr>
          <w:rFonts w:ascii="宋体" w:hAnsi="宋体" w:cs="宋体"/>
          <w:color w:val="000000"/>
          <w:szCs w:val="21"/>
        </w:rPr>
        <w:t>10</w:t>
      </w:r>
      <w:r>
        <w:rPr>
          <w:rFonts w:hint="eastAsia" w:ascii="宋体" w:hAnsi="宋体" w:cs="宋体"/>
          <w:color w:val="000000"/>
          <w:szCs w:val="21"/>
        </w:rPr>
        <w:t>次。</w:t>
      </w:r>
    </w:p>
    <w:p w14:paraId="4818027A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cs="宋体"/>
          <w:color w:val="000000"/>
          <w:szCs w:val="21"/>
        </w:rPr>
      </w:pPr>
      <w:r>
        <w:rPr>
          <w:rFonts w:ascii="宋体" w:hAnsi="宋体" w:cs="黑体"/>
          <w:color w:val="000000"/>
          <w:szCs w:val="21"/>
        </w:rPr>
        <w:t xml:space="preserve">5.5 </w:t>
      </w:r>
      <w:r>
        <w:rPr>
          <w:rFonts w:hint="eastAsia" w:ascii="宋体" w:hAnsi="宋体" w:cs="宋体"/>
          <w:color w:val="000000"/>
          <w:szCs w:val="21"/>
        </w:rPr>
        <w:t>标本转运：尽快送检。室温下全血标本管放置不超过</w:t>
      </w:r>
      <w:r>
        <w:rPr>
          <w:rFonts w:ascii="宋体" w:hAnsi="宋体" w:cs="宋体"/>
          <w:color w:val="000000"/>
          <w:szCs w:val="21"/>
        </w:rPr>
        <w:t>3h</w:t>
      </w:r>
      <w:r>
        <w:rPr>
          <w:rFonts w:hint="eastAsia" w:ascii="宋体" w:hAnsi="宋体" w:cs="宋体"/>
          <w:color w:val="000000"/>
          <w:szCs w:val="21"/>
        </w:rPr>
        <w:t>，</w:t>
      </w:r>
      <w:r>
        <w:rPr>
          <w:rFonts w:ascii="宋体" w:hAnsi="宋体" w:cs="宋体"/>
          <w:color w:val="000000"/>
          <w:szCs w:val="21"/>
        </w:rPr>
        <w:t>30 min</w:t>
      </w:r>
      <w:r>
        <w:rPr>
          <w:rFonts w:hint="eastAsia" w:ascii="宋体" w:hAnsi="宋体" w:cs="宋体"/>
          <w:color w:val="000000"/>
          <w:szCs w:val="21"/>
        </w:rPr>
        <w:t>～</w:t>
      </w:r>
      <w:r>
        <w:rPr>
          <w:rFonts w:ascii="宋体" w:hAnsi="宋体" w:cs="宋体"/>
          <w:color w:val="000000"/>
          <w:szCs w:val="21"/>
        </w:rPr>
        <w:t>45 min</w:t>
      </w:r>
      <w:r>
        <w:rPr>
          <w:rFonts w:hint="eastAsia" w:ascii="宋体" w:hAnsi="宋体" w:cs="宋体"/>
          <w:color w:val="000000"/>
          <w:szCs w:val="21"/>
        </w:rPr>
        <w:t>后分离血清，置洁净试管加盖，</w:t>
      </w:r>
      <w:r>
        <w:rPr>
          <w:rFonts w:ascii="宋体" w:hAnsi="宋体" w:cs="宋体"/>
          <w:color w:val="000000"/>
          <w:szCs w:val="21"/>
        </w:rPr>
        <w:t xml:space="preserve">2 </w:t>
      </w:r>
      <w:r>
        <w:rPr>
          <w:rFonts w:hint="eastAsia" w:ascii="宋体" w:hAnsi="宋体" w:cs="宋体"/>
          <w:color w:val="000000"/>
          <w:szCs w:val="21"/>
        </w:rPr>
        <w:t>℃～</w:t>
      </w:r>
      <w:r>
        <w:rPr>
          <w:rFonts w:ascii="宋体" w:hAnsi="宋体" w:cs="宋体"/>
          <w:color w:val="000000"/>
          <w:szCs w:val="21"/>
        </w:rPr>
        <w:t xml:space="preserve">8 </w:t>
      </w:r>
      <w:r>
        <w:rPr>
          <w:rFonts w:hint="eastAsia" w:ascii="宋体" w:hAnsi="宋体" w:cs="宋体"/>
          <w:color w:val="000000"/>
          <w:szCs w:val="21"/>
        </w:rPr>
        <w:t>℃保存稳定</w:t>
      </w:r>
      <w:r>
        <w:rPr>
          <w:rFonts w:ascii="宋体" w:hAnsi="宋体" w:cs="宋体"/>
          <w:color w:val="000000"/>
          <w:szCs w:val="21"/>
        </w:rPr>
        <w:t>7</w:t>
      </w:r>
      <w:r>
        <w:rPr>
          <w:rFonts w:hint="eastAsia" w:ascii="宋体" w:hAnsi="宋体" w:cs="宋体"/>
          <w:color w:val="000000"/>
          <w:szCs w:val="21"/>
        </w:rPr>
        <w:t>天，</w:t>
      </w:r>
      <w:r>
        <w:rPr>
          <w:rFonts w:ascii="宋体" w:hAnsi="宋体" w:cs="宋体"/>
          <w:color w:val="000000"/>
          <w:szCs w:val="21"/>
        </w:rPr>
        <w:t xml:space="preserve">-20 </w:t>
      </w:r>
      <w:r>
        <w:rPr>
          <w:rFonts w:hint="eastAsia" w:ascii="宋体" w:hAnsi="宋体" w:cs="宋体"/>
          <w:color w:val="000000"/>
          <w:szCs w:val="21"/>
        </w:rPr>
        <w:t>℃下可长期保存，不可反复冻融。</w:t>
      </w:r>
    </w:p>
    <w:p w14:paraId="5C23E23A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cs="宋体"/>
          <w:color w:val="000000"/>
          <w:szCs w:val="21"/>
        </w:rPr>
      </w:pPr>
      <w:r>
        <w:rPr>
          <w:rFonts w:ascii="宋体" w:hAnsi="宋体" w:cs="黑体"/>
          <w:color w:val="000000"/>
          <w:szCs w:val="21"/>
        </w:rPr>
        <w:t xml:space="preserve">5.6 </w:t>
      </w:r>
      <w:r>
        <w:rPr>
          <w:rFonts w:hint="eastAsia" w:ascii="宋体" w:hAnsi="宋体" w:cs="宋体"/>
          <w:color w:val="000000"/>
          <w:szCs w:val="21"/>
        </w:rPr>
        <w:t>标本离心要求：如</w:t>
      </w:r>
      <w:r>
        <w:rPr>
          <w:rFonts w:ascii="宋体" w:hAnsi="宋体" w:cs="宋体"/>
          <w:color w:val="000000"/>
          <w:szCs w:val="21"/>
        </w:rPr>
        <w:t>3000</w:t>
      </w:r>
      <w:r>
        <w:rPr>
          <w:rFonts w:hint="eastAsia" w:ascii="宋体" w:hAnsi="宋体" w:cs="宋体"/>
          <w:color w:val="000000"/>
          <w:szCs w:val="21"/>
        </w:rPr>
        <w:t>转</w:t>
      </w:r>
      <w:r>
        <w:rPr>
          <w:rFonts w:ascii="宋体" w:hAnsi="宋体" w:cs="宋体"/>
          <w:color w:val="000000"/>
          <w:szCs w:val="21"/>
        </w:rPr>
        <w:t>/</w:t>
      </w:r>
      <w:r>
        <w:rPr>
          <w:rFonts w:hint="eastAsia" w:ascii="宋体" w:hAnsi="宋体" w:cs="宋体"/>
          <w:color w:val="000000"/>
          <w:szCs w:val="21"/>
        </w:rPr>
        <w:t>分，离心</w:t>
      </w:r>
      <w:r>
        <w:rPr>
          <w:rFonts w:ascii="宋体" w:hAnsi="宋体" w:cs="宋体"/>
          <w:color w:val="000000"/>
          <w:szCs w:val="21"/>
        </w:rPr>
        <w:t>10min</w:t>
      </w:r>
      <w:r>
        <w:rPr>
          <w:rFonts w:hint="eastAsia" w:ascii="宋体" w:hAnsi="宋体" w:cs="宋体"/>
          <w:color w:val="000000"/>
          <w:szCs w:val="21"/>
        </w:rPr>
        <w:t>。</w:t>
      </w:r>
    </w:p>
    <w:p w14:paraId="67AAB817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cs="宋体"/>
          <w:color w:val="000000"/>
          <w:szCs w:val="21"/>
        </w:rPr>
      </w:pPr>
      <w:r>
        <w:rPr>
          <w:rFonts w:ascii="宋体" w:hAnsi="宋体" w:cs="黑体"/>
          <w:color w:val="000000"/>
          <w:szCs w:val="21"/>
        </w:rPr>
        <w:t xml:space="preserve">5.7 </w:t>
      </w:r>
      <w:r>
        <w:rPr>
          <w:rFonts w:hint="eastAsia" w:ascii="宋体" w:hAnsi="宋体" w:cs="宋体"/>
          <w:color w:val="000000"/>
          <w:szCs w:val="21"/>
        </w:rPr>
        <w:t>拒收标准：全血标本＜</w:t>
      </w:r>
      <w:r>
        <w:rPr>
          <w:rFonts w:ascii="宋体" w:hAnsi="宋体" w:cs="宋体"/>
          <w:color w:val="000000"/>
          <w:szCs w:val="21"/>
        </w:rPr>
        <w:t>2mL</w:t>
      </w:r>
      <w:r>
        <w:rPr>
          <w:rFonts w:hint="eastAsia" w:ascii="宋体" w:hAnsi="宋体" w:cs="宋体"/>
          <w:color w:val="000000"/>
          <w:szCs w:val="21"/>
        </w:rPr>
        <w:t>或血清＜</w:t>
      </w:r>
      <w:r>
        <w:rPr>
          <w:rFonts w:ascii="宋体" w:hAnsi="宋体" w:cs="宋体"/>
          <w:color w:val="000000"/>
          <w:szCs w:val="21"/>
        </w:rPr>
        <w:t>0.2mL</w:t>
      </w:r>
      <w:r>
        <w:rPr>
          <w:rFonts w:hint="eastAsia" w:ascii="宋体" w:hAnsi="宋体" w:cs="宋体"/>
          <w:color w:val="000000"/>
          <w:szCs w:val="21"/>
        </w:rPr>
        <w:t>；标本严重溶血、浑浊或脂血；无法确认标本信息；标本试管破裂等。详见编号</w:t>
      </w:r>
      <w:r>
        <w:rPr>
          <w:rFonts w:ascii="宋体" w:hAnsi="宋体" w:cs="宋体"/>
          <w:color w:val="000000"/>
          <w:szCs w:val="21"/>
        </w:rPr>
        <w:t>XXX</w:t>
      </w:r>
      <w:r>
        <w:rPr>
          <w:rFonts w:hint="eastAsia" w:ascii="宋体" w:hAnsi="宋体" w:cs="宋体"/>
          <w:color w:val="000000"/>
          <w:szCs w:val="21"/>
        </w:rPr>
        <w:t>的《检验标本采集标准操作程序》。</w:t>
      </w:r>
    </w:p>
    <w:p w14:paraId="1B652F36">
      <w:pPr>
        <w:autoSpaceDE w:val="0"/>
        <w:autoSpaceDN w:val="0"/>
        <w:adjustRightInd w:val="0"/>
        <w:spacing w:after="125" w:line="360" w:lineRule="auto"/>
        <w:jc w:val="left"/>
        <w:rPr>
          <w:rFonts w:hint="eastAsia" w:ascii="宋体" w:hAnsi="宋体" w:cs="黑体"/>
          <w:b/>
          <w:bCs/>
          <w:color w:val="000000"/>
          <w:szCs w:val="21"/>
        </w:rPr>
      </w:pPr>
      <w:r>
        <w:rPr>
          <w:rFonts w:ascii="宋体" w:hAnsi="宋体" w:cs="黑体"/>
          <w:b/>
          <w:bCs/>
          <w:color w:val="000000"/>
          <w:szCs w:val="21"/>
        </w:rPr>
        <w:t xml:space="preserve">6 </w:t>
      </w:r>
      <w:r>
        <w:rPr>
          <w:rFonts w:hint="eastAsia" w:ascii="宋体" w:hAnsi="宋体" w:cs="黑体"/>
          <w:b/>
          <w:bCs/>
          <w:color w:val="000000"/>
          <w:szCs w:val="21"/>
        </w:rPr>
        <w:t>患者准备</w:t>
      </w:r>
    </w:p>
    <w:p w14:paraId="13D0F0D4">
      <w:pPr>
        <w:autoSpaceDE w:val="0"/>
        <w:autoSpaceDN w:val="0"/>
        <w:adjustRightInd w:val="0"/>
        <w:spacing w:line="360" w:lineRule="auto"/>
        <w:ind w:firstLine="420" w:firstLineChars="200"/>
        <w:jc w:val="left"/>
        <w:rPr>
          <w:rFonts w:hint="eastAsia" w:ascii="宋体" w:hAns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</w:rPr>
        <w:t>采血前</w:t>
      </w:r>
      <w:r>
        <w:rPr>
          <w:rFonts w:ascii="宋体" w:hAnsi="宋体" w:cs="宋体"/>
          <w:color w:val="000000"/>
          <w:szCs w:val="21"/>
        </w:rPr>
        <w:t>3</w:t>
      </w:r>
      <w:r>
        <w:rPr>
          <w:rFonts w:hint="eastAsia" w:ascii="宋体" w:hAnsi="宋体" w:cs="宋体"/>
          <w:color w:val="000000"/>
          <w:szCs w:val="21"/>
        </w:rPr>
        <w:t>天内避免高脂饮食；总胆固醇单一测定可非空腹采血；体检者采血前应保持平时饮食习惯</w:t>
      </w:r>
      <w:r>
        <w:rPr>
          <w:rFonts w:ascii="宋体" w:hAnsi="宋体" w:cs="宋体"/>
          <w:color w:val="000000"/>
          <w:szCs w:val="21"/>
        </w:rPr>
        <w:t>2</w:t>
      </w:r>
      <w:r>
        <w:rPr>
          <w:rFonts w:hint="eastAsia" w:ascii="宋体" w:hAnsi="宋体" w:cs="宋体"/>
          <w:color w:val="000000"/>
          <w:szCs w:val="21"/>
        </w:rPr>
        <w:t>周，近期内体重稳定，无急性病、外伤、手术等意外情况，应每年同一季节检验，采血前</w:t>
      </w:r>
      <w:r>
        <w:rPr>
          <w:rFonts w:ascii="宋体" w:hAnsi="宋体" w:cs="宋体"/>
          <w:color w:val="000000"/>
          <w:szCs w:val="21"/>
        </w:rPr>
        <w:t>24 h</w:t>
      </w:r>
      <w:r>
        <w:rPr>
          <w:rFonts w:hint="eastAsia" w:ascii="宋体" w:hAnsi="宋体" w:cs="宋体"/>
          <w:color w:val="000000"/>
          <w:szCs w:val="21"/>
        </w:rPr>
        <w:t>内不作剧烈运动；妇女在妊娠后期总胆固醇可增高，应在产后或哺乳终止后</w:t>
      </w:r>
      <w:r>
        <w:rPr>
          <w:rFonts w:ascii="宋体" w:hAnsi="宋体" w:cs="宋体"/>
          <w:color w:val="000000"/>
          <w:szCs w:val="21"/>
        </w:rPr>
        <w:t>3</w:t>
      </w:r>
      <w:r>
        <w:rPr>
          <w:rFonts w:hint="eastAsia" w:ascii="宋体" w:hAnsi="宋体" w:cs="宋体"/>
          <w:color w:val="000000"/>
          <w:szCs w:val="21"/>
        </w:rPr>
        <w:t>个月测定。降血脂药、避孕药、噻嗪类利尿剂、β受体阻滞剂、免疫抑制剂、某些降压药、降糖药、胰岛素及其他激素药等会影响血脂，检验前应根据所用药物的特性停药数日或数周，否则应记录具体情况。</w:t>
      </w:r>
    </w:p>
    <w:p w14:paraId="51B3B00F">
      <w:pPr>
        <w:autoSpaceDE w:val="0"/>
        <w:autoSpaceDN w:val="0"/>
        <w:adjustRightInd w:val="0"/>
        <w:spacing w:after="125" w:line="360" w:lineRule="auto"/>
        <w:jc w:val="left"/>
        <w:rPr>
          <w:rFonts w:hint="eastAsia" w:ascii="宋体" w:hAnsi="宋体" w:cs="黑体"/>
          <w:b/>
          <w:bCs/>
          <w:color w:val="000000"/>
          <w:szCs w:val="21"/>
        </w:rPr>
      </w:pPr>
      <w:r>
        <w:rPr>
          <w:rFonts w:ascii="宋体" w:hAnsi="宋体" w:cs="黑体"/>
          <w:b/>
          <w:bCs/>
          <w:color w:val="000000"/>
          <w:szCs w:val="21"/>
        </w:rPr>
        <w:t xml:space="preserve">7 </w:t>
      </w:r>
      <w:r>
        <w:rPr>
          <w:rFonts w:hint="eastAsia" w:ascii="宋体" w:hAnsi="宋体" w:cs="黑体"/>
          <w:b/>
          <w:bCs/>
          <w:color w:val="000000"/>
          <w:szCs w:val="21"/>
        </w:rPr>
        <w:t>容器和添加剂类型</w:t>
      </w:r>
    </w:p>
    <w:p w14:paraId="75760E61">
      <w:pPr>
        <w:autoSpaceDE w:val="0"/>
        <w:autoSpaceDN w:val="0"/>
        <w:adjustRightInd w:val="0"/>
        <w:spacing w:after="125" w:line="360" w:lineRule="auto"/>
        <w:ind w:firstLine="420" w:firstLineChars="200"/>
        <w:jc w:val="left"/>
        <w:rPr>
          <w:rFonts w:hint="eastAsia" w:ascii="宋体" w:hAns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</w:rPr>
        <w:t>促凝真空采血管，添加剂为</w:t>
      </w:r>
      <w:r>
        <w:rPr>
          <w:rFonts w:hint="eastAsia" w:ascii="宋体" w:hAnsi="宋体" w:eastAsia="宋体" w:cs="宋体"/>
          <w:sz w:val="21"/>
          <w:szCs w:val="21"/>
        </w:rPr>
        <w:t>肝素（钠和锂），EDTA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三钾</w:t>
      </w:r>
      <w:r>
        <w:rPr>
          <w:rFonts w:hint="eastAsia" w:ascii="宋体" w:hAnsi="宋体" w:cs="宋体"/>
          <w:color w:val="000000"/>
          <w:szCs w:val="21"/>
        </w:rPr>
        <w:t>。</w:t>
      </w:r>
    </w:p>
    <w:p w14:paraId="4D12A4C3">
      <w:pPr>
        <w:autoSpaceDE w:val="0"/>
        <w:autoSpaceDN w:val="0"/>
        <w:adjustRightInd w:val="0"/>
        <w:spacing w:after="125" w:line="360" w:lineRule="auto"/>
        <w:jc w:val="left"/>
        <w:rPr>
          <w:rFonts w:hint="eastAsia" w:ascii="宋体" w:hAnsi="宋体" w:cs="黑体"/>
          <w:b/>
          <w:bCs/>
          <w:color w:val="000000"/>
          <w:szCs w:val="21"/>
        </w:rPr>
      </w:pPr>
      <w:r>
        <w:rPr>
          <w:rFonts w:ascii="宋体" w:hAnsi="宋体" w:cs="黑体"/>
          <w:b/>
          <w:bCs/>
          <w:color w:val="000000"/>
          <w:szCs w:val="21"/>
        </w:rPr>
        <w:t>8</w:t>
      </w:r>
      <w:r>
        <w:rPr>
          <w:rFonts w:hint="eastAsia" w:ascii="宋体" w:hAnsi="宋体" w:cs="黑体"/>
          <w:b/>
          <w:bCs/>
          <w:color w:val="000000"/>
          <w:szCs w:val="21"/>
          <w:lang w:val="en-US" w:eastAsia="zh-CN"/>
        </w:rPr>
        <w:t xml:space="preserve"> </w:t>
      </w:r>
      <w:r>
        <w:rPr>
          <w:rFonts w:hint="eastAsia" w:ascii="宋体" w:hAnsi="宋体" w:cs="黑体"/>
          <w:b/>
          <w:bCs/>
          <w:color w:val="000000"/>
          <w:szCs w:val="21"/>
        </w:rPr>
        <w:t>仪器和试剂</w:t>
      </w:r>
    </w:p>
    <w:p w14:paraId="4B653045">
      <w:pPr>
        <w:numPr>
          <w:ilvl w:val="0"/>
          <w:numId w:val="2"/>
        </w:num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/>
        </w:rPr>
      </w:pPr>
      <w:r>
        <w:rPr>
          <w:rFonts w:ascii="宋体" w:hAnsi="宋体" w:cs="黑体"/>
          <w:color w:val="auto"/>
          <w:szCs w:val="21"/>
        </w:rPr>
        <w:t xml:space="preserve">8.1 </w:t>
      </w:r>
      <w:r>
        <w:rPr>
          <w:rFonts w:hint="eastAsia" w:ascii="宋体" w:hAnsi="宋体" w:cs="宋体"/>
          <w:color w:val="auto"/>
          <w:szCs w:val="21"/>
        </w:rPr>
        <w:t>仪器：</w:t>
      </w:r>
      <w:r>
        <w:rPr>
          <w:rFonts w:hint="eastAsia" w:ascii="宋体" w:hAnsi="宋体"/>
          <w:lang w:val="en-US" w:eastAsia="zh-CN"/>
        </w:rPr>
        <w:t>雅培</w:t>
      </w:r>
      <w:r>
        <w:rPr>
          <w:rFonts w:hint="eastAsia" w:ascii="宋体" w:hAnsi="宋体"/>
        </w:rPr>
        <w:t>Alinity</w:t>
      </w:r>
      <w:r>
        <w:rPr>
          <w:rFonts w:hint="eastAsia" w:ascii="宋体" w:hAnsi="宋体"/>
          <w:lang w:val="en-US" w:eastAsia="zh-CN"/>
        </w:rPr>
        <w:t xml:space="preserve"> </w:t>
      </w:r>
      <w:r>
        <w:rPr>
          <w:rFonts w:hint="eastAsia" w:ascii="宋体" w:hAnsi="宋体"/>
        </w:rPr>
        <w:t>i全自动化学发光免疫分析仪</w:t>
      </w:r>
      <w:r>
        <w:rPr>
          <w:rFonts w:hint="eastAsia" w:ascii="宋体" w:hAnsi="宋体" w:cs="宋体"/>
          <w:color w:val="auto"/>
          <w:szCs w:val="21"/>
        </w:rPr>
        <w:t>，详见编号</w:t>
      </w:r>
      <w:r>
        <w:rPr>
          <w:rFonts w:ascii="宋体" w:hAnsi="宋体" w:cs="宋体"/>
          <w:color w:val="auto"/>
          <w:szCs w:val="21"/>
          <w:highlight w:val="red"/>
        </w:rPr>
        <w:t>XXX</w:t>
      </w:r>
      <w:r>
        <w:rPr>
          <w:rFonts w:hint="eastAsia" w:ascii="宋体" w:hAnsi="宋体" w:cs="宋体"/>
          <w:color w:val="auto"/>
          <w:szCs w:val="21"/>
        </w:rPr>
        <w:t>的</w:t>
      </w:r>
      <w:r>
        <w:rPr>
          <w:rFonts w:hint="eastAsia" w:ascii="宋体" w:hAnsi="宋体"/>
        </w:rPr>
        <w:t>《</w:t>
      </w:r>
      <w:r>
        <w:rPr>
          <w:rFonts w:hint="eastAsia" w:ascii="宋体" w:hAnsi="宋体"/>
          <w:lang w:val="en-GB"/>
        </w:rPr>
        <w:t>Alinity</w:t>
      </w:r>
      <w:r>
        <w:rPr>
          <w:rFonts w:hint="eastAsia" w:ascii="宋体" w:hAnsi="宋体"/>
          <w:lang w:val="en-US" w:eastAsia="zh-CN"/>
        </w:rPr>
        <w:t xml:space="preserve"> </w:t>
      </w:r>
      <w:r>
        <w:rPr>
          <w:rFonts w:hint="eastAsia" w:ascii="宋体" w:hAnsi="宋体"/>
          <w:lang w:val="en-GB"/>
        </w:rPr>
        <w:t>i全自动免疫分析仪标准操作规程</w:t>
      </w:r>
      <w:r>
        <w:rPr>
          <w:rFonts w:hint="eastAsia" w:ascii="宋体" w:hAnsi="宋体"/>
        </w:rPr>
        <w:t xml:space="preserve">》。 </w:t>
      </w:r>
    </w:p>
    <w:p w14:paraId="3D82164B">
      <w:pPr>
        <w:numPr>
          <w:ilvl w:val="1"/>
          <w:numId w:val="3"/>
        </w:num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cs="宋体"/>
          <w:szCs w:val="21"/>
        </w:rPr>
      </w:pPr>
      <w:r>
        <w:rPr>
          <w:rFonts w:ascii="宋体" w:hAnsi="宋体" w:cs="黑体"/>
          <w:szCs w:val="21"/>
        </w:rPr>
        <w:t xml:space="preserve">8.2 </w:t>
      </w:r>
      <w:r>
        <w:rPr>
          <w:rFonts w:hint="eastAsia" w:ascii="宋体" w:hAnsi="宋体" w:cs="宋体"/>
          <w:szCs w:val="21"/>
        </w:rPr>
        <w:t>试剂</w:t>
      </w:r>
    </w:p>
    <w:p w14:paraId="31CE8D74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both"/>
        <w:textAlignment w:val="auto"/>
        <w:rPr>
          <w:rFonts w:hint="eastAsia" w:ascii="宋体" w:hAnsi="宋体" w:eastAsia="宋体" w:cs="宋体"/>
          <w:color w:val="FF0000"/>
          <w:kern w:val="0"/>
          <w:sz w:val="21"/>
          <w:szCs w:val="21"/>
          <w:lang w:bidi="ar"/>
        </w:rPr>
      </w:pPr>
      <w:r>
        <w:rPr>
          <w:rFonts w:ascii="宋体" w:hAnsi="宋体" w:cs="黑体"/>
          <w:szCs w:val="21"/>
        </w:rPr>
        <w:t xml:space="preserve">8.2.1 </w:t>
      </w:r>
      <w:r>
        <w:rPr>
          <w:rFonts w:hint="eastAsia" w:ascii="宋体" w:hAnsi="宋体" w:cs="宋体"/>
          <w:szCs w:val="21"/>
        </w:rPr>
        <w:t>检测试剂</w:t>
      </w:r>
      <w:r>
        <w:rPr>
          <w:rFonts w:hint="eastAsia" w:ascii="宋体" w:hAnsi="宋体" w:cs="宋体"/>
          <w:color w:val="auto"/>
          <w:szCs w:val="21"/>
        </w:rPr>
        <w:t>：</w:t>
      </w:r>
      <w:r>
        <w:rPr>
          <w:rFonts w:hint="eastAsia" w:ascii="宋体" w:hAnsi="宋体"/>
          <w:color w:val="auto"/>
          <w:lang w:val="en-US" w:eastAsia="zh-CN"/>
        </w:rPr>
        <w:t>雅培</w:t>
      </w:r>
      <w:r>
        <w:rPr>
          <w:rFonts w:hint="eastAsia" w:ascii="宋体" w:hAnsi="宋体"/>
          <w:color w:val="auto"/>
        </w:rPr>
        <w:t>Alinity</w:t>
      </w:r>
      <w:r>
        <w:rPr>
          <w:rFonts w:hint="eastAsia" w:ascii="宋体" w:hAnsi="宋体"/>
          <w:color w:val="auto"/>
          <w:lang w:val="en-US" w:eastAsia="zh-CN"/>
        </w:rPr>
        <w:t xml:space="preserve"> </w:t>
      </w:r>
      <w:r>
        <w:rPr>
          <w:rFonts w:hint="eastAsia" w:ascii="宋体" w:hAnsi="宋体"/>
          <w:color w:val="auto"/>
        </w:rPr>
        <w:t>i全自动化学发光免疫分析仪</w:t>
      </w:r>
      <w:r>
        <w:rPr>
          <w:rFonts w:hint="eastAsia" w:ascii="宋体" w:hAnsi="宋体" w:cs="宋体"/>
          <w:color w:val="auto"/>
          <w:szCs w:val="21"/>
        </w:rPr>
        <w:t>。</w:t>
      </w:r>
      <w:r>
        <w:rPr>
          <w:rFonts w:hint="eastAsia" w:ascii="宋体" w:hAnsi="宋体" w:cs="宋体"/>
          <w:szCs w:val="21"/>
        </w:rPr>
        <w:t>无需配制，即开即用。</w:t>
      </w:r>
    </w:p>
    <w:p w14:paraId="6A4A90A0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napToGrid w:val="0"/>
        <w:spacing w:line="360" w:lineRule="auto"/>
        <w:ind w:firstLine="420" w:firstLineChars="0"/>
        <w:textAlignment w:val="auto"/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kern w:val="0"/>
          <w:sz w:val="21"/>
          <w:szCs w:val="21"/>
          <w:lang w:val="en-US" w:eastAsia="zh-CN" w:bidi="ar"/>
          <w14:textFill>
            <w14:solidFill>
              <w14:schemeClr w14:val="tx1"/>
            </w14:solidFill>
          </w14:textFill>
        </w:rPr>
        <w:t>8</w:t>
      </w: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:lang w:bidi="ar"/>
          <w14:textFill>
            <w14:solidFill>
              <w14:schemeClr w14:val="tx1"/>
            </w14:solidFill>
          </w14:textFill>
        </w:rPr>
        <w:t>.2.1</w:t>
      </w:r>
      <w:r>
        <w:rPr>
          <w:rFonts w:hint="eastAsia" w:ascii="宋体" w:hAnsi="宋体" w:cs="宋体"/>
          <w:color w:val="000000" w:themeColor="text1"/>
          <w:kern w:val="0"/>
          <w:sz w:val="21"/>
          <w:szCs w:val="21"/>
          <w:lang w:val="en-US" w:eastAsia="zh-CN" w:bidi="ar"/>
          <w14:textFill>
            <w14:solidFill>
              <w14:schemeClr w14:val="tx1"/>
            </w14:solidFill>
          </w14:textFill>
        </w:rPr>
        <w:t>.1</w:t>
      </w: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>ARCHITECT乙型肝炎病毒e抗</w:t>
      </w: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体</w:t>
      </w: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>测定试剂盒(</w:t>
      </w: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07P63</w:t>
      </w: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>)</w:t>
      </w:r>
    </w:p>
    <w:p w14:paraId="510E2036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napToGrid w:val="0"/>
        <w:spacing w:line="360" w:lineRule="auto"/>
        <w:textAlignment w:val="auto"/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a）微粒子：</w:t>
      </w: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>1或4瓶（6.6 mL）或1瓶（27.0mL）乙型肝炎病毒e抗体(小鼠，单克隆)包被的微粒子，制备于含有蛋白(牛)稳定剂的磷酸盐缓冲液中。最低浓度：0.08% 固体物质。防腐剂：ProClin 300和其他抗菌剂。</w:t>
      </w:r>
    </w:p>
    <w:p w14:paraId="2FE1BBD6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napToGrid w:val="0"/>
        <w:spacing w:line="360" w:lineRule="auto"/>
        <w:ind w:firstLine="210" w:firstLineChars="100"/>
        <w:textAlignment w:val="auto"/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b）结合物：</w:t>
      </w: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>1或4瓶（5.9 mL）或</w:t>
      </w:r>
      <w:bookmarkStart w:id="0" w:name="OLE_LINK4"/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>1瓶（26.3mL）</w:t>
      </w:r>
      <w:bookmarkEnd w:id="0"/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>吖啶酯标记的乙型肝炎病毒e抗体(小鼠，单克隆)结合物，制备于含有蛋白(牛)稳定剂的2-(N-吗啡啉)乙磺酸(MES)缓冲液中。最低浓度： 0.08 μg/mL。防腐剂：ProClin 300。</w:t>
      </w:r>
    </w:p>
    <w:p w14:paraId="01F8D0A3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c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>中和剂：1或4瓶（5.9 mL）1瓶（26.3mL）乙型肝炎病毒e抗原(重组DNA)，制备于含有蛋白(牛)稳定剂的三羟甲基氨基甲烷(TRIS)缓冲液中。最低浓度： 6.7 PEI U/mL。防腐剂：抗菌剂。</w:t>
      </w:r>
    </w:p>
    <w:p w14:paraId="3458D9A8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d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）其它试剂：ARCHITECT </w:t>
      </w: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:lang w:val="en-US" w:eastAsia="zh-CN" w:bidi="ar"/>
          <w14:textFill>
            <w14:solidFill>
              <w14:schemeClr w14:val="tx1"/>
            </w14:solidFill>
          </w14:textFill>
        </w:rPr>
        <w:t>Alinity i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预激发液、ARCHITECT </w:t>
      </w: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:lang w:val="en-US" w:eastAsia="zh-CN" w:bidi="ar"/>
          <w14:textFill>
            <w14:solidFill>
              <w14:schemeClr w14:val="tx1"/>
            </w14:solidFill>
          </w14:textFill>
        </w:rPr>
        <w:t>Alinity i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激发液、ARCHITECT </w:t>
      </w: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:lang w:val="en-US" w:eastAsia="zh-CN" w:bidi="ar"/>
          <w14:textFill>
            <w14:solidFill>
              <w14:schemeClr w14:val="tx1"/>
            </w14:solidFill>
          </w14:textFill>
        </w:rPr>
        <w:t>Alinity i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清洗缓冲液。</w:t>
      </w:r>
    </w:p>
    <w:p w14:paraId="69725D66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napToGrid w:val="0"/>
        <w:spacing w:line="360" w:lineRule="auto"/>
        <w:ind w:firstLine="420" w:firstLineChars="0"/>
        <w:textAlignment w:val="auto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kern w:val="0"/>
          <w:sz w:val="21"/>
          <w:szCs w:val="21"/>
          <w:lang w:val="en-US" w:eastAsia="zh-CN" w:bidi="ar"/>
          <w14:textFill>
            <w14:solidFill>
              <w14:schemeClr w14:val="tx1"/>
            </w14:solidFill>
          </w14:textFill>
        </w:rPr>
        <w:t>8</w:t>
      </w: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:lang w:bidi="ar"/>
          <w14:textFill>
            <w14:solidFill>
              <w14:schemeClr w14:val="tx1"/>
            </w14:solidFill>
          </w14:textFill>
        </w:rPr>
        <w:t>.2.</w:t>
      </w:r>
      <w:r>
        <w:rPr>
          <w:rFonts w:hint="eastAsia" w:ascii="宋体" w:hAnsi="宋体" w:cs="宋体"/>
          <w:color w:val="000000" w:themeColor="text1"/>
          <w:kern w:val="0"/>
          <w:sz w:val="21"/>
          <w:szCs w:val="21"/>
          <w:lang w:val="en-US" w:eastAsia="zh-CN" w:bidi="ar"/>
          <w14:textFill>
            <w14:solidFill>
              <w14:schemeClr w14:val="tx1"/>
            </w14:solidFill>
          </w14:textFill>
        </w:rPr>
        <w:t>1.2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试剂盒储存条件</w:t>
      </w:r>
    </w:p>
    <w:p w14:paraId="6317FF5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a）</w:t>
      </w:r>
      <w:r>
        <w:rPr>
          <w:rFonts w:hint="eastAsia" w:ascii="宋体" w:hAnsi="宋体" w:eastAsia="宋体" w:cs="宋体"/>
          <w:bCs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>ARCHITECT乙型肝炎病毒e抗</w:t>
      </w:r>
      <w:r>
        <w:rPr>
          <w:rFonts w:hint="eastAsia" w:ascii="宋体" w:hAnsi="宋体" w:eastAsia="宋体" w:cs="宋体"/>
          <w:bCs/>
          <w:color w:val="000000" w:themeColor="text1"/>
          <w:kern w:val="0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体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测定试剂盒必须在2-8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℃</w:t>
      </w: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>竖直向上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储存，</w:t>
      </w: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>从2-8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℃</w:t>
      </w: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>环境中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取出后可立即使用。</w:t>
      </w: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>如果试剂瓶未竖直向上储存，使用前轻轻颠倒试剂瓶10次并竖直向上放置</w:t>
      </w: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>小时。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有效期1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个月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0075526F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b）按照指导储存和操作时，试剂在效期内保持稳定。</w:t>
      </w:r>
    </w:p>
    <w:p w14:paraId="4A32B20F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c）</w:t>
      </w:r>
      <w:r>
        <w:rPr>
          <w:rFonts w:hint="eastAsia" w:ascii="宋体" w:hAnsi="宋体" w:eastAsia="宋体" w:cs="宋体"/>
          <w:bCs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>ARCHITECT乙型肝炎病毒e抗</w:t>
      </w:r>
      <w:r>
        <w:rPr>
          <w:rFonts w:hint="eastAsia" w:ascii="宋体" w:hAnsi="宋体" w:eastAsia="宋体" w:cs="宋体"/>
          <w:bCs/>
          <w:color w:val="000000" w:themeColor="text1"/>
          <w:kern w:val="0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体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测定试剂盒在ARCHITECT </w:t>
      </w: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:lang w:val="en-US" w:eastAsia="zh-CN" w:bidi="ar"/>
          <w14:textFill>
            <w14:solidFill>
              <w14:schemeClr w14:val="tx1"/>
            </w14:solidFill>
          </w14:textFill>
        </w:rPr>
        <w:t>Alinity i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系统上最长可以储存30天。</w:t>
      </w:r>
    </w:p>
    <w:p w14:paraId="277D1DBE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d）试剂可以在ARCHITECT </w:t>
      </w: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:lang w:val="en-US" w:eastAsia="zh-CN" w:bidi="ar"/>
          <w14:textFill>
            <w14:solidFill>
              <w14:schemeClr w14:val="tx1"/>
            </w14:solidFill>
          </w14:textFill>
        </w:rPr>
        <w:t>Alinity i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系统上储存，也可以脱离系统储存。如果试剂脱离系统储存，需将其竖直向上储存于2-8℃(盖有软盖和替换盖)。试剂从系统上取出后，建议将其放回原始托架和包装盒中储存，以确保其竖直向上放置。如果微粒子试剂瓶在脱离系统冷藏储存时没有竖直向上放置(盖有软盖)，那么必须丢弃该试剂盒。</w:t>
      </w:r>
    </w:p>
    <w:p w14:paraId="26834C8F">
      <w:pPr>
        <w:numPr>
          <w:ilvl w:val="1"/>
          <w:numId w:val="3"/>
        </w:num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cs="宋体"/>
          <w:szCs w:val="21"/>
        </w:rPr>
      </w:pPr>
      <w:r>
        <w:rPr>
          <w:rFonts w:ascii="宋体" w:hAnsi="宋体" w:cs="黑体"/>
          <w:szCs w:val="21"/>
        </w:rPr>
        <w:t xml:space="preserve">8.2.2 </w:t>
      </w:r>
      <w:r>
        <w:rPr>
          <w:rFonts w:hint="eastAsia" w:ascii="宋体" w:hAnsi="宋体" w:cs="宋体"/>
          <w:szCs w:val="21"/>
        </w:rPr>
        <w:t>校准品：</w:t>
      </w:r>
      <w:r>
        <w:rPr>
          <w:rFonts w:hint="eastAsia" w:ascii="宋体" w:hAnsi="宋体"/>
          <w:lang w:val="en-US" w:eastAsia="zh-CN"/>
        </w:rPr>
        <w:t>雅培</w:t>
      </w:r>
      <w:r>
        <w:rPr>
          <w:rFonts w:hint="eastAsia" w:ascii="宋体" w:hAnsi="宋体"/>
        </w:rPr>
        <w:t>Alinity</w:t>
      </w:r>
      <w:r>
        <w:rPr>
          <w:rFonts w:hint="eastAsia" w:ascii="宋体" w:hAnsi="宋体"/>
          <w:lang w:val="en-US" w:eastAsia="zh-CN"/>
        </w:rPr>
        <w:t xml:space="preserve"> </w:t>
      </w:r>
      <w:r>
        <w:rPr>
          <w:rFonts w:hint="eastAsia" w:ascii="宋体" w:hAnsi="宋体"/>
        </w:rPr>
        <w:t>i全自动化学发光免疫分析仪</w:t>
      </w:r>
      <w:r>
        <w:rPr>
          <w:rFonts w:hint="eastAsia" w:ascii="宋体" w:hAnsi="宋体" w:cs="宋体"/>
          <w:color w:val="auto"/>
          <w:szCs w:val="21"/>
        </w:rPr>
        <w:t>液态校准血清</w:t>
      </w:r>
      <w:r>
        <w:rPr>
          <w:rFonts w:hint="eastAsia" w:ascii="宋体" w:hAnsi="宋体" w:cs="宋体"/>
          <w:szCs w:val="21"/>
        </w:rPr>
        <w:t>，用前须充分混匀。规格：</w:t>
      </w:r>
      <w:r>
        <w:rPr>
          <w:rFonts w:hint="eastAsia" w:ascii="宋体" w:hAnsi="宋体" w:cs="宋体"/>
          <w:szCs w:val="21"/>
          <w:lang w:val="en-US" w:eastAsia="zh-CN"/>
        </w:rPr>
        <w:t>2</w:t>
      </w:r>
      <w:r>
        <w:rPr>
          <w:rFonts w:hint="eastAsia" w:ascii="宋体" w:hAnsi="宋体" w:cs="宋体"/>
          <w:szCs w:val="21"/>
        </w:rPr>
        <w:t>×</w:t>
      </w:r>
      <w:r>
        <w:rPr>
          <w:rFonts w:hint="default" w:ascii="宋体" w:hAnsi="宋体" w:cs="宋体"/>
          <w:szCs w:val="21"/>
          <w:lang w:val="en-US" w:eastAsia="zh-CN"/>
        </w:rPr>
        <w:t>3</w:t>
      </w:r>
      <w:r>
        <w:rPr>
          <w:rFonts w:ascii="宋体" w:hAnsi="宋体" w:cs="宋体"/>
          <w:szCs w:val="21"/>
        </w:rPr>
        <w:t>mL</w:t>
      </w:r>
      <w:r>
        <w:rPr>
          <w:rFonts w:hint="eastAsia" w:ascii="宋体" w:hAnsi="宋体" w:cs="宋体"/>
          <w:szCs w:val="21"/>
        </w:rPr>
        <w:t>。稳定性：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bidi="ar"/>
        </w:rPr>
        <w:t>2℃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>-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bidi="ar"/>
        </w:rPr>
        <w:t>8℃储存，有效期12个月。</w:t>
      </w:r>
    </w:p>
    <w:p w14:paraId="161CC9B7">
      <w:pPr>
        <w:autoSpaceDE w:val="0"/>
        <w:autoSpaceDN w:val="0"/>
        <w:adjustRightInd w:val="0"/>
        <w:spacing w:after="125" w:line="360" w:lineRule="auto"/>
        <w:jc w:val="left"/>
        <w:rPr>
          <w:rFonts w:hint="eastAsia" w:ascii="宋体" w:hAnsi="宋体" w:cs="黑体"/>
          <w:b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hAnsi="宋体" w:cs="黑体"/>
          <w:b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9 </w:t>
      </w:r>
      <w:r>
        <w:rPr>
          <w:rFonts w:hint="eastAsia" w:ascii="宋体" w:hAnsi="宋体" w:cs="黑体"/>
          <w:b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环境和安全控制</w:t>
      </w:r>
    </w:p>
    <w:p w14:paraId="362289F5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9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.1环境温度：15～30℃。</w:t>
      </w:r>
    </w:p>
    <w:p w14:paraId="1DF961E5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9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.2相对湿度：20～85%。</w:t>
      </w:r>
    </w:p>
    <w:p w14:paraId="580CE765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rPr>
          <w:rFonts w:hint="eastAsia" w:ascii="宋体" w:hAnsi="宋体" w:eastAsia="宋体" w:cs="宋体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9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本检测试剂含动物源性物质，可能传播传染病。叠氮化钠防腐剂可在金属排水管道形成爆炸性化合物，应在弃置未稀释试剂后用水冲洗污水管，避免叠氮化合物积聚。仪器安全使用要求详见按照《设施和环境管理程序》《实验室安全管理程序》《仪器设备管理程序》等相关文件执行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04AD9687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jc w:val="left"/>
        <w:textAlignment w:val="auto"/>
        <w:rPr>
          <w:rFonts w:hint="eastAsia" w:ascii="宋体" w:hAnsi="宋体" w:cs="黑体"/>
          <w:b/>
          <w:bCs/>
          <w:color w:val="000000"/>
          <w:szCs w:val="21"/>
        </w:rPr>
      </w:pPr>
      <w:r>
        <w:rPr>
          <w:rFonts w:ascii="宋体" w:hAnsi="宋体" w:cs="黑体"/>
          <w:b/>
          <w:bCs/>
          <w:color w:val="000000"/>
          <w:szCs w:val="21"/>
        </w:rPr>
        <w:t xml:space="preserve">10 </w:t>
      </w:r>
      <w:r>
        <w:rPr>
          <w:rFonts w:hint="eastAsia" w:ascii="宋体" w:hAnsi="宋体" w:cs="黑体"/>
          <w:b/>
          <w:bCs/>
          <w:color w:val="000000"/>
          <w:szCs w:val="21"/>
        </w:rPr>
        <w:t>校准程序</w:t>
      </w:r>
    </w:p>
    <w:p w14:paraId="5EF51D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ascii="宋体" w:hAnsi="宋体" w:cs="黑体"/>
          <w:szCs w:val="21"/>
        </w:rPr>
        <w:t xml:space="preserve">10.1 </w:t>
      </w:r>
      <w:r>
        <w:rPr>
          <w:rFonts w:hint="eastAsia" w:ascii="宋体" w:hAnsi="宋体" w:cs="宋体"/>
          <w:szCs w:val="21"/>
        </w:rPr>
        <w:t>溯源性：校准品可溯源</w:t>
      </w:r>
      <w:r>
        <w:rPr>
          <w:rFonts w:hint="eastAsia" w:ascii="宋体" w:hAnsi="宋体" w:eastAsia="宋体" w:cs="宋体"/>
          <w:sz w:val="21"/>
          <w:szCs w:val="21"/>
        </w:rPr>
        <w:t>至</w:t>
      </w:r>
      <w:r>
        <w:rPr>
          <w:rFonts w:hint="eastAsia" w:ascii="宋体" w:hAnsi="宋体" w:cs="宋体"/>
          <w:sz w:val="21"/>
          <w:szCs w:val="21"/>
          <w:lang w:eastAsia="zh-CN"/>
        </w:rPr>
        <w:t>德国兰格</w:t>
      </w:r>
      <w:r>
        <w:rPr>
          <w:rFonts w:hint="eastAsia" w:ascii="宋体" w:hAnsi="宋体" w:cs="宋体"/>
          <w:sz w:val="21"/>
          <w:szCs w:val="21"/>
          <w:lang w:val="en-US" w:eastAsia="zh-CN"/>
        </w:rPr>
        <w:t>Paul Ehrlich研究所的参考标准品</w:t>
      </w:r>
      <w:r>
        <w:rPr>
          <w:rFonts w:hint="eastAsia" w:ascii="宋体" w:hAnsi="宋体" w:eastAsia="宋体" w:cs="宋体"/>
          <w:sz w:val="21"/>
          <w:szCs w:val="21"/>
        </w:rPr>
        <w:t>。</w:t>
      </w:r>
    </w:p>
    <w:p w14:paraId="19B44D71">
      <w:pPr>
        <w:numPr>
          <w:ilvl w:val="0"/>
          <w:numId w:val="0"/>
        </w:numPr>
        <w:autoSpaceDE w:val="0"/>
        <w:autoSpaceDN w:val="0"/>
        <w:adjustRightInd w:val="0"/>
        <w:spacing w:line="360" w:lineRule="auto"/>
        <w:ind w:firstLine="420" w:firstLineChars="0"/>
        <w:jc w:val="left"/>
        <w:rPr>
          <w:rFonts w:hint="default" w:ascii="宋体" w:hAnsi="宋体" w:eastAsia="宋体" w:cs="宋体"/>
          <w:szCs w:val="21"/>
          <w:lang w:val="en-US" w:eastAsia="zh-CN"/>
        </w:rPr>
      </w:pPr>
      <w:r>
        <w:rPr>
          <w:rFonts w:ascii="宋体" w:hAnsi="宋体" w:cs="黑体"/>
          <w:color w:val="auto"/>
          <w:szCs w:val="21"/>
        </w:rPr>
        <w:t xml:space="preserve">10.2 </w:t>
      </w:r>
      <w:r>
        <w:rPr>
          <w:rFonts w:hint="eastAsia" w:ascii="宋体" w:hAnsi="宋体" w:cs="宋体"/>
          <w:color w:val="auto"/>
          <w:szCs w:val="21"/>
        </w:rPr>
        <w:t>校准时机：校准周期</w:t>
      </w:r>
      <w:r>
        <w:rPr>
          <w:rFonts w:hint="eastAsia" w:ascii="宋体" w:hAnsi="宋体" w:cs="宋体"/>
          <w:color w:val="auto"/>
          <w:szCs w:val="21"/>
          <w:highlight w:val="none"/>
          <w:lang w:val="en-US" w:eastAsia="zh-CN"/>
        </w:rPr>
        <w:t>30天</w:t>
      </w:r>
      <w:r>
        <w:rPr>
          <w:rFonts w:hint="eastAsia" w:ascii="宋体" w:hAnsi="宋体" w:cs="宋体"/>
          <w:color w:val="auto"/>
          <w:szCs w:val="21"/>
        </w:rPr>
        <w:t>。当发生下列情况时，需重新校准分析：试剂批号改变或质控值显著变化；分析仪提示需要校准时；分析仪进行了重要预防性维护或更换了关键部件时。</w:t>
      </w:r>
    </w:p>
    <w:p w14:paraId="59325464">
      <w:pPr>
        <w:pStyle w:val="7"/>
        <w:spacing w:line="360" w:lineRule="auto"/>
        <w:ind w:right="0" w:rightChars="0" w:firstLine="420" w:firstLineChars="0"/>
        <w:rPr>
          <w:rFonts w:hint="eastAsia" w:ascii="宋体" w:hAnsi="宋体" w:cs="宋体"/>
          <w:szCs w:val="21"/>
        </w:rPr>
      </w:pPr>
      <w:r>
        <w:rPr>
          <w:rFonts w:ascii="宋体" w:hAnsi="宋体" w:cs="黑体"/>
          <w:szCs w:val="21"/>
        </w:rPr>
        <w:t xml:space="preserve">10.3 </w:t>
      </w:r>
      <w:r>
        <w:rPr>
          <w:rFonts w:hint="eastAsia" w:ascii="宋体" w:hAnsi="宋体" w:cs="宋体"/>
          <w:szCs w:val="21"/>
        </w:rPr>
        <w:t>校准步骤：</w:t>
      </w:r>
      <w:r>
        <w:rPr>
          <w:rFonts w:hint="eastAsia" w:ascii="宋体" w:hAnsi="宋体" w:eastAsia="宋体" w:cs="宋体"/>
          <w:sz w:val="21"/>
          <w:szCs w:val="21"/>
        </w:rPr>
        <w:t>具体操作见</w:t>
      </w:r>
      <w:r>
        <w:rPr>
          <w:rFonts w:hint="eastAsia" w:ascii="宋体" w:hAnsi="宋体"/>
          <w:sz w:val="21"/>
          <w:szCs w:val="21"/>
        </w:rPr>
        <w:t>《</w:t>
      </w:r>
      <w:r>
        <w:rPr>
          <w:rFonts w:hint="eastAsia" w:ascii="宋体" w:hAnsi="宋体"/>
          <w:color w:val="000000"/>
          <w:sz w:val="21"/>
          <w:szCs w:val="21"/>
        </w:rPr>
        <w:t>ARCHITECTAlinityi全自动化学发光免疫</w:t>
      </w:r>
      <w:r>
        <w:rPr>
          <w:rFonts w:hint="eastAsia" w:ascii="宋体" w:hAnsi="宋体"/>
          <w:sz w:val="21"/>
          <w:szCs w:val="21"/>
        </w:rPr>
        <w:t>分析仪校准程序》。</w:t>
      </w:r>
    </w:p>
    <w:p w14:paraId="0B4B3FE0">
      <w:pPr>
        <w:autoSpaceDE w:val="0"/>
        <w:autoSpaceDN w:val="0"/>
        <w:adjustRightInd w:val="0"/>
        <w:spacing w:after="125" w:line="360" w:lineRule="auto"/>
        <w:jc w:val="left"/>
        <w:rPr>
          <w:rFonts w:hint="eastAsia" w:ascii="宋体" w:hAnsi="宋体" w:cs="黑体"/>
          <w:b/>
          <w:bCs/>
          <w:color w:val="auto"/>
          <w:szCs w:val="21"/>
        </w:rPr>
      </w:pPr>
      <w:r>
        <w:rPr>
          <w:rFonts w:ascii="宋体" w:hAnsi="宋体" w:cs="黑体"/>
          <w:b/>
          <w:bCs/>
          <w:color w:val="auto"/>
          <w:szCs w:val="21"/>
        </w:rPr>
        <w:t xml:space="preserve">11 </w:t>
      </w:r>
      <w:r>
        <w:rPr>
          <w:rFonts w:hint="eastAsia" w:ascii="宋体" w:hAnsi="宋体" w:cs="黑体"/>
          <w:b/>
          <w:bCs/>
          <w:color w:val="auto"/>
          <w:szCs w:val="21"/>
        </w:rPr>
        <w:t>操作步骤</w:t>
      </w:r>
    </w:p>
    <w:p w14:paraId="0F173583">
      <w:pPr>
        <w:numPr>
          <w:ilvl w:val="0"/>
          <w:numId w:val="0"/>
        </w:numPr>
        <w:autoSpaceDE w:val="0"/>
        <w:autoSpaceDN w:val="0"/>
        <w:adjustRightInd w:val="0"/>
        <w:spacing w:line="360" w:lineRule="auto"/>
        <w:ind w:firstLine="420" w:firstLineChars="0"/>
        <w:jc w:val="left"/>
        <w:rPr>
          <w:rFonts w:hint="eastAsia" w:ascii="宋体" w:hAnsi="宋体" w:cs="宋体"/>
          <w:color w:val="auto"/>
          <w:szCs w:val="21"/>
        </w:rPr>
      </w:pPr>
      <w:r>
        <w:rPr>
          <w:rFonts w:hint="eastAsia" w:ascii="宋体" w:hAnsi="宋体"/>
          <w:lang w:val="en-US" w:eastAsia="zh-CN"/>
        </w:rPr>
        <w:t>雅培</w:t>
      </w:r>
      <w:r>
        <w:rPr>
          <w:rFonts w:hint="eastAsia" w:ascii="宋体" w:hAnsi="宋体"/>
        </w:rPr>
        <w:t>Alinity</w:t>
      </w:r>
      <w:r>
        <w:rPr>
          <w:rFonts w:hint="eastAsia" w:ascii="宋体" w:hAnsi="宋体"/>
          <w:lang w:val="en-US" w:eastAsia="zh-CN"/>
        </w:rPr>
        <w:t xml:space="preserve"> </w:t>
      </w:r>
      <w:r>
        <w:rPr>
          <w:rFonts w:hint="eastAsia" w:ascii="宋体" w:hAnsi="宋体"/>
        </w:rPr>
        <w:t>i全自动化学发光免疫分析仪</w:t>
      </w:r>
      <w:r>
        <w:rPr>
          <w:rFonts w:hint="eastAsia" w:ascii="宋体" w:hAnsi="宋体" w:cs="宋体"/>
          <w:color w:val="auto"/>
          <w:szCs w:val="21"/>
        </w:rPr>
        <w:t>检测步骤主要操作要点</w:t>
      </w:r>
    </w:p>
    <w:p w14:paraId="3EFC19C8">
      <w:pPr>
        <w:numPr>
          <w:ilvl w:val="0"/>
          <w:numId w:val="0"/>
        </w:numPr>
        <w:autoSpaceDE w:val="0"/>
        <w:autoSpaceDN w:val="0"/>
        <w:adjustRightInd w:val="0"/>
        <w:spacing w:line="360" w:lineRule="auto"/>
        <w:ind w:firstLine="420" w:firstLineChars="0"/>
        <w:jc w:val="left"/>
        <w:rPr>
          <w:rFonts w:hint="eastAsia" w:ascii="宋体" w:hAnsi="宋体" w:eastAsia="宋体" w:cs="宋体"/>
          <w:color w:val="auto"/>
          <w:szCs w:val="21"/>
        </w:rPr>
      </w:pPr>
      <w:r>
        <w:rPr>
          <w:rFonts w:hint="eastAsia" w:ascii="宋体" w:hAnsi="宋体" w:eastAsia="宋体" w:cs="宋体"/>
          <w:color w:val="auto"/>
          <w:szCs w:val="21"/>
          <w:lang w:val="en-US" w:eastAsia="zh-CN"/>
        </w:rPr>
        <w:t>11.1 混合样本、项目稀释液和HBe抗体（小鼠，单克隆）包被的顺磁</w:t>
      </w:r>
      <w:r>
        <w:rPr>
          <w:rFonts w:hint="default" w:ascii="宋体" w:hAnsi="宋体" w:eastAsia="宋体" w:cs="宋体"/>
          <w:color w:val="auto"/>
          <w:szCs w:val="21"/>
          <w:lang w:val="en-US" w:eastAsia="zh-CN"/>
        </w:rPr>
        <w:t xml:space="preserve">性微粒子。样本中的乙型肝炎病毒e抗原与乙型肝炎病毒e抗体包被的微粒子结合。 </w:t>
      </w:r>
    </w:p>
    <w:p w14:paraId="2F5AF7A6">
      <w:pPr>
        <w:numPr>
          <w:ilvl w:val="0"/>
          <w:numId w:val="0"/>
        </w:numPr>
        <w:autoSpaceDE w:val="0"/>
        <w:autoSpaceDN w:val="0"/>
        <w:adjustRightInd w:val="0"/>
        <w:spacing w:line="360" w:lineRule="auto"/>
        <w:ind w:firstLine="420" w:firstLineChars="0"/>
        <w:jc w:val="left"/>
        <w:rPr>
          <w:rFonts w:hint="eastAsia" w:ascii="宋体" w:hAnsi="宋体" w:eastAsia="宋体" w:cs="宋体"/>
          <w:color w:val="auto"/>
          <w:szCs w:val="21"/>
        </w:rPr>
      </w:pPr>
      <w:r>
        <w:rPr>
          <w:rFonts w:hint="eastAsia" w:ascii="宋体" w:hAnsi="宋体" w:eastAsia="宋体" w:cs="宋体"/>
          <w:color w:val="auto"/>
          <w:szCs w:val="21"/>
          <w:lang w:val="en-US" w:eastAsia="zh-CN"/>
        </w:rPr>
        <w:t xml:space="preserve">11.1 </w:t>
      </w:r>
      <w:r>
        <w:rPr>
          <w:rFonts w:hint="default" w:ascii="宋体" w:hAnsi="宋体" w:eastAsia="宋体" w:cs="宋体"/>
          <w:color w:val="auto"/>
          <w:szCs w:val="21"/>
          <w:lang w:val="en-US" w:eastAsia="zh-CN"/>
        </w:rPr>
        <w:t xml:space="preserve">冲洗后,加入吖啶酯标记的乙型肝炎病毒e抗体结合物。 </w:t>
      </w:r>
    </w:p>
    <w:p w14:paraId="531B04DD">
      <w:pPr>
        <w:numPr>
          <w:ilvl w:val="0"/>
          <w:numId w:val="0"/>
        </w:numPr>
        <w:autoSpaceDE w:val="0"/>
        <w:autoSpaceDN w:val="0"/>
        <w:adjustRightInd w:val="0"/>
        <w:spacing w:line="360" w:lineRule="auto"/>
        <w:ind w:firstLine="420" w:firstLineChars="0"/>
        <w:jc w:val="left"/>
        <w:rPr>
          <w:rFonts w:hint="eastAsia" w:ascii="宋体" w:hAnsi="宋体" w:eastAsia="宋体" w:cs="宋体"/>
          <w:color w:val="auto"/>
          <w:szCs w:val="21"/>
        </w:rPr>
      </w:pPr>
      <w:r>
        <w:rPr>
          <w:rFonts w:hint="eastAsia" w:ascii="宋体" w:hAnsi="宋体" w:eastAsia="宋体" w:cs="宋体"/>
          <w:color w:val="auto"/>
          <w:szCs w:val="21"/>
          <w:lang w:val="en-US" w:eastAsia="zh-CN"/>
        </w:rPr>
        <w:t xml:space="preserve">11.1 </w:t>
      </w:r>
      <w:r>
        <w:rPr>
          <w:rFonts w:hint="default" w:ascii="宋体" w:hAnsi="宋体" w:eastAsia="宋体" w:cs="宋体"/>
          <w:color w:val="auto"/>
          <w:szCs w:val="21"/>
          <w:lang w:val="en-US" w:eastAsia="zh-CN"/>
        </w:rPr>
        <w:t xml:space="preserve">再次冲洗后，将预激发液和激发液加入到反应混合物中。 </w:t>
      </w:r>
    </w:p>
    <w:p w14:paraId="4CC899D4">
      <w:pPr>
        <w:numPr>
          <w:ilvl w:val="0"/>
          <w:numId w:val="0"/>
        </w:numPr>
        <w:autoSpaceDE w:val="0"/>
        <w:autoSpaceDN w:val="0"/>
        <w:adjustRightInd w:val="0"/>
        <w:spacing w:line="360" w:lineRule="auto"/>
        <w:ind w:firstLine="420" w:firstLineChars="0"/>
        <w:jc w:val="left"/>
        <w:rPr>
          <w:rFonts w:hint="eastAsia" w:ascii="宋体" w:hAnsi="宋体" w:cs="宋体"/>
          <w:color w:val="FF0000"/>
          <w:szCs w:val="21"/>
        </w:rPr>
      </w:pPr>
      <w:r>
        <w:rPr>
          <w:rFonts w:hint="eastAsia" w:ascii="宋体" w:hAnsi="宋体" w:eastAsia="宋体" w:cs="宋体"/>
          <w:color w:val="auto"/>
          <w:szCs w:val="21"/>
          <w:lang w:val="en-US" w:eastAsia="zh-CN"/>
        </w:rPr>
        <w:t xml:space="preserve">11.1 </w:t>
      </w:r>
      <w:r>
        <w:rPr>
          <w:rFonts w:hint="default" w:ascii="宋体" w:hAnsi="宋体" w:eastAsia="宋体" w:cs="宋体"/>
          <w:color w:val="auto"/>
          <w:szCs w:val="21"/>
          <w:lang w:val="en-US" w:eastAsia="zh-CN"/>
        </w:rPr>
        <w:t>测量产生的化学发光反应，以相对发光单位(RLUs)表示。样本中的乙型肝炎病毒e抗原含量和光学系统检测到的RLUs值之间成正比。</w:t>
      </w:r>
    </w:p>
    <w:tbl>
      <w:tblPr>
        <w:tblStyle w:val="13"/>
        <w:tblW w:w="9093" w:type="dxa"/>
        <w:tblInd w:w="102" w:type="dxa"/>
        <w:tblBorders>
          <w:top w:val="none" w:color="auto" w:sz="6" w:space="0"/>
          <w:left w:val="none" w:color="auto" w:sz="6" w:space="0"/>
          <w:bottom w:val="none" w:color="auto" w:sz="6" w:space="0"/>
          <w:right w:val="none" w:color="auto" w:sz="6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1"/>
        <w:gridCol w:w="8382"/>
      </w:tblGrid>
      <w:tr w14:paraId="3C0232AC">
        <w:trPr>
          <w:trHeight w:val="423" w:hRule="atLeast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1DB411C3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hint="eastAsia" w:ascii="宋体" w:hAnsi="宋体" w:eastAsia="宋体" w:cs="Times New Roman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lang w:val="en-US" w:eastAsia="zh-CN"/>
              </w:rPr>
              <w:t>步骤</w:t>
            </w:r>
          </w:p>
        </w:tc>
        <w:tc>
          <w:tcPr>
            <w:tcW w:w="8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1E235D8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hint="eastAsia" w:ascii="宋体" w:hAnsi="宋体" w:eastAsia="宋体" w:cs="Times New Roman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lang w:val="en-US" w:eastAsia="zh-CN"/>
              </w:rPr>
              <w:t>操作</w:t>
            </w:r>
          </w:p>
        </w:tc>
      </w:tr>
      <w:tr w14:paraId="09984426">
        <w:trPr>
          <w:trHeight w:val="1210" w:hRule="atLeast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F02D546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hint="eastAsia" w:ascii="宋体" w:hAnsi="宋体" w:eastAsia="宋体" w:cs="Times New Roman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lang w:val="en-US" w:eastAsia="zh-CN"/>
              </w:rPr>
              <w:t xml:space="preserve">1 </w:t>
            </w:r>
          </w:p>
        </w:tc>
        <w:tc>
          <w:tcPr>
            <w:tcW w:w="8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310D9ED0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hint="default" w:ascii="宋体" w:hAnsi="宋体" w:eastAsia="宋体" w:cs="Times New Roman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lang w:val="en-US" w:eastAsia="zh-CN"/>
              </w:rPr>
              <w:t>样品编程： 主界面中点击“申请”→ 在申请界面下方点击“创建申请”→在创建申请界面点击“标本”→在申请类型下选择单个标本或条码批量处理→点击右侧项目或项目组合选项，选择姚检测的项目或项目组合→需要时，点击界面下方项目选项选择和输入自动稀释模式和重复测试数→点击“完成”返回申请界面→点击界面下方申请状态，查看标本申请状态→也可以使用组合选择项目组合组套。在每个项目中可以以选择重复次数和稀释方案→点击“完成”，点击“添加申请”以保存。</w:t>
            </w:r>
          </w:p>
        </w:tc>
      </w:tr>
      <w:tr w14:paraId="08E28EFF">
        <w:trPr>
          <w:trHeight w:val="410" w:hRule="atLeast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7E616A3D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hint="eastAsia" w:ascii="宋体" w:hAnsi="宋体" w:eastAsia="宋体" w:cs="Times New Roman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lang w:val="en-US" w:eastAsia="zh-CN"/>
              </w:rPr>
              <w:t xml:space="preserve">2 </w:t>
            </w:r>
          </w:p>
        </w:tc>
        <w:tc>
          <w:tcPr>
            <w:tcW w:w="8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71550624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hint="eastAsia" w:ascii="宋体" w:hAnsi="宋体" w:eastAsia="宋体" w:cs="Times New Roman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lang w:val="en-US" w:eastAsia="zh-CN"/>
              </w:rPr>
              <w:t>样品检测：在菜单栏上点击主屏幕“HOME”图标→在主屏幕上，点击试剂和样品传输模块和处理模块图标→点击“运行”，传输模块和处理模块到“Running”→自动申请的含有条码的样品管，应将条码朝外→批量处理的样品架，将样品架放置在样品托盘中，再将托盘推入试剂和样品传输模块（RSM）任一可用的装载位，直到装载指示灯（绿色）亮起→单个处理的样品架，直接将样品架推入试剂和样品传输模块（RSM）任一可用的装载位，直到装载指示灯（绿色）亮起。</w:t>
            </w:r>
          </w:p>
        </w:tc>
      </w:tr>
      <w:tr w14:paraId="5306DF72">
        <w:trPr>
          <w:trHeight w:val="310" w:hRule="atLeast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A34A46B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hint="eastAsia" w:ascii="宋体" w:hAnsi="宋体" w:eastAsia="宋体" w:cs="Times New Roman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lang w:val="en-US" w:eastAsia="zh-CN"/>
              </w:rPr>
              <w:t>3</w:t>
            </w:r>
          </w:p>
        </w:tc>
        <w:tc>
          <w:tcPr>
            <w:tcW w:w="8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41D1443C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hint="eastAsia" w:ascii="宋体" w:hAnsi="宋体" w:eastAsia="宋体" w:cs="Times New Roman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lang w:val="en-US" w:eastAsia="zh-CN"/>
              </w:rPr>
              <w:t>检测结果传输：结果屏幕→菜单栏，点击“结果”→选择需要传输结果→点击“传输”</w:t>
            </w:r>
          </w:p>
        </w:tc>
      </w:tr>
      <w:tr w14:paraId="380E09AE">
        <w:trPr>
          <w:trHeight w:val="810" w:hRule="atLeast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6523EF8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hint="eastAsia" w:ascii="宋体" w:hAnsi="宋体" w:eastAsia="宋体" w:cs="Times New Roman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lang w:val="en-US" w:eastAsia="zh-CN"/>
              </w:rPr>
              <w:t xml:space="preserve">4 </w:t>
            </w:r>
          </w:p>
        </w:tc>
        <w:tc>
          <w:tcPr>
            <w:tcW w:w="8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4AC8664B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hint="eastAsia" w:ascii="宋体" w:hAnsi="宋体" w:eastAsia="宋体" w:cs="Times New Roman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lang w:val="en-US" w:eastAsia="zh-CN"/>
              </w:rPr>
              <w:t>检测结果查询：结果屏幕→菜单栏，点击“结果”→点击未“释放”选项卡，查看未释放的测试结果列表→点击“标本”选项卡，查看已释放的患者标本测试结果列表→点击“异常报警”选项卡，查看发生异常报警的测试结果列表。</w:t>
            </w:r>
          </w:p>
        </w:tc>
      </w:tr>
    </w:tbl>
    <w:p w14:paraId="37F24E1C">
      <w:pPr>
        <w:numPr>
          <w:ilvl w:val="0"/>
          <w:numId w:val="2"/>
        </w:num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cstheme="minorBidi"/>
          <w:szCs w:val="21"/>
        </w:rPr>
      </w:pPr>
      <w:r>
        <w:rPr>
          <w:rFonts w:ascii="宋体" w:hAnsi="宋体" w:cstheme="minorBidi"/>
          <w:szCs w:val="21"/>
        </w:rPr>
        <w:t>注：仪器具体操作步骤见编号XXX的</w:t>
      </w:r>
      <w:r>
        <w:rPr>
          <w:rFonts w:hint="eastAsia" w:ascii="宋体" w:hAnsi="宋体"/>
        </w:rPr>
        <w:t>《</w:t>
      </w:r>
      <w:r>
        <w:rPr>
          <w:rFonts w:hint="eastAsia" w:ascii="宋体" w:hAnsi="宋体"/>
          <w:lang w:val="en-GB"/>
        </w:rPr>
        <w:t>Alinity</w:t>
      </w:r>
      <w:r>
        <w:rPr>
          <w:rFonts w:hint="eastAsia" w:ascii="宋体" w:hAnsi="宋体"/>
          <w:lang w:val="en-US" w:eastAsia="zh-CN"/>
        </w:rPr>
        <w:t xml:space="preserve"> </w:t>
      </w:r>
      <w:r>
        <w:rPr>
          <w:rFonts w:hint="eastAsia" w:ascii="宋体" w:hAnsi="宋体"/>
          <w:lang w:val="en-GB"/>
        </w:rPr>
        <w:t>i全自动免疫分析仪标准操作规程</w:t>
      </w:r>
      <w:r>
        <w:rPr>
          <w:rFonts w:hint="eastAsia" w:ascii="宋体" w:hAnsi="宋体"/>
        </w:rPr>
        <w:t xml:space="preserve">》。 </w:t>
      </w:r>
    </w:p>
    <w:p w14:paraId="5CF6B4F1">
      <w:pPr>
        <w:autoSpaceDE w:val="0"/>
        <w:autoSpaceDN w:val="0"/>
        <w:adjustRightInd w:val="0"/>
        <w:spacing w:after="125" w:line="360" w:lineRule="auto"/>
        <w:jc w:val="left"/>
        <w:rPr>
          <w:rFonts w:hint="eastAsia" w:ascii="宋体" w:hAnsi="宋体" w:cs="黑体"/>
          <w:b/>
          <w:bCs/>
          <w:color w:val="000000"/>
          <w:szCs w:val="21"/>
        </w:rPr>
      </w:pPr>
      <w:r>
        <w:rPr>
          <w:rFonts w:ascii="宋体" w:hAnsi="宋体" w:cs="黑体"/>
          <w:b/>
          <w:bCs/>
          <w:color w:val="000000"/>
          <w:szCs w:val="21"/>
        </w:rPr>
        <w:t xml:space="preserve">12 </w:t>
      </w:r>
      <w:r>
        <w:rPr>
          <w:rFonts w:hint="eastAsia" w:ascii="宋体" w:hAnsi="宋体" w:cs="黑体"/>
          <w:b/>
          <w:bCs/>
          <w:color w:val="000000"/>
          <w:szCs w:val="21"/>
        </w:rPr>
        <w:t>质量控制</w:t>
      </w:r>
      <w:r>
        <w:rPr>
          <w:rFonts w:ascii="宋体" w:hAnsi="宋体" w:cs="黑体"/>
          <w:b/>
          <w:bCs/>
          <w:color w:val="000000"/>
          <w:szCs w:val="21"/>
        </w:rPr>
        <w:t xml:space="preserve"> </w:t>
      </w:r>
    </w:p>
    <w:p w14:paraId="3144D8A9">
      <w:pPr>
        <w:spacing w:line="360" w:lineRule="auto"/>
        <w:ind w:firstLine="420" w:firstLineChars="0"/>
        <w:outlineLvl w:val="0"/>
        <w:rPr>
          <w:rFonts w:hint="eastAsia" w:ascii="宋体" w:hAnsi="宋体" w:eastAsia="宋体" w:cs="Times New Roman"/>
        </w:rPr>
      </w:pPr>
      <w:r>
        <w:rPr>
          <w:rFonts w:hint="eastAsia" w:ascii="宋体" w:hAnsi="宋体" w:eastAsia="宋体" w:cs="Times New Roman"/>
          <w:lang w:val="en-US" w:eastAsia="zh-CN"/>
        </w:rPr>
        <w:t>12</w:t>
      </w:r>
      <w:r>
        <w:rPr>
          <w:rFonts w:hint="eastAsia" w:ascii="宋体" w:hAnsi="宋体" w:eastAsia="宋体" w:cs="Times New Roman"/>
        </w:rPr>
        <w:t>.1质控品：使用</w:t>
      </w:r>
      <w:r>
        <w:rPr>
          <w:rFonts w:hint="eastAsia" w:ascii="宋体" w:hAnsi="宋体" w:eastAsia="宋体"/>
          <w:lang w:val="en-US" w:eastAsia="zh-CN"/>
        </w:rPr>
        <w:t>雅培</w:t>
      </w:r>
      <w:r>
        <w:rPr>
          <w:rFonts w:ascii="宋体" w:hAnsi="宋体"/>
        </w:rPr>
        <w:t xml:space="preserve"> </w:t>
      </w:r>
      <w:r>
        <w:rPr>
          <w:rFonts w:ascii="宋体" w:hAnsi="宋体" w:cs="Arial"/>
          <w:lang w:val="en-GB"/>
        </w:rPr>
        <w:t>Alinityi</w:t>
      </w:r>
      <w:r>
        <w:rPr>
          <w:rFonts w:hint="eastAsia" w:ascii="宋体" w:hAnsi="宋体" w:eastAsia="宋体" w:cs="Times New Roman"/>
        </w:rPr>
        <w:t xml:space="preserve">公司配套定值质控品。两浓度水平，2-8℃下保存至有效期，禁止冻融。 </w:t>
      </w:r>
    </w:p>
    <w:p w14:paraId="3C57C83D">
      <w:pPr>
        <w:spacing w:line="360" w:lineRule="auto"/>
        <w:ind w:firstLine="420" w:firstLineChars="0"/>
        <w:outlineLvl w:val="0"/>
        <w:rPr>
          <w:rFonts w:hint="eastAsia" w:ascii="宋体" w:hAnsi="宋体" w:eastAsia="宋体" w:cs="Times New Roman"/>
        </w:rPr>
      </w:pPr>
      <w:r>
        <w:rPr>
          <w:rFonts w:hint="eastAsia" w:ascii="宋体" w:hAnsi="宋体" w:eastAsia="宋体" w:cs="Times New Roman"/>
          <w:lang w:val="en-US" w:eastAsia="zh-CN"/>
        </w:rPr>
        <w:t>12</w:t>
      </w:r>
      <w:r>
        <w:rPr>
          <w:rFonts w:hint="eastAsia" w:ascii="宋体" w:hAnsi="宋体" w:eastAsia="宋体" w:cs="Times New Roman"/>
        </w:rPr>
        <w:t>.2质控规则：Westgard 质控规则，使用13S、22S、R4S质控规则。</w:t>
      </w:r>
    </w:p>
    <w:p w14:paraId="5A416EA6">
      <w:pPr>
        <w:spacing w:line="360" w:lineRule="auto"/>
        <w:ind w:firstLine="420" w:firstLineChars="0"/>
        <w:outlineLvl w:val="0"/>
        <w:rPr>
          <w:rFonts w:hint="eastAsia" w:ascii="宋体" w:hAnsi="宋体" w:eastAsia="宋体" w:cs="Times New Roman"/>
        </w:rPr>
      </w:pPr>
      <w:r>
        <w:rPr>
          <w:rFonts w:hint="eastAsia" w:ascii="宋体" w:hAnsi="宋体" w:eastAsia="宋体" w:cs="Times New Roman"/>
          <w:lang w:val="en-US" w:eastAsia="zh-CN"/>
        </w:rPr>
        <w:t>12</w:t>
      </w:r>
      <w:r>
        <w:rPr>
          <w:rFonts w:hint="eastAsia" w:ascii="宋体" w:hAnsi="宋体" w:eastAsia="宋体" w:cs="Times New Roman"/>
        </w:rPr>
        <w:t>.3检测方法：指定质控品专用编号，滴6滴于带盖离心管，密封保存于2-8℃，每工作日按常规标本模式检测一次。记录质控结果。</w:t>
      </w:r>
    </w:p>
    <w:p w14:paraId="57AAA328">
      <w:pPr>
        <w:spacing w:line="360" w:lineRule="auto"/>
        <w:ind w:firstLine="420" w:firstLineChars="0"/>
        <w:outlineLvl w:val="0"/>
        <w:rPr>
          <w:rFonts w:hint="eastAsia" w:ascii="宋体" w:hAnsi="宋体" w:eastAsia="宋体" w:cs="Times New Roman"/>
        </w:rPr>
      </w:pPr>
      <w:r>
        <w:rPr>
          <w:rFonts w:hint="eastAsia" w:ascii="宋体" w:hAnsi="宋体" w:eastAsia="宋体" w:cs="Times New Roman"/>
          <w:color w:val="FF0000"/>
          <w:lang w:val="en-US" w:eastAsia="zh-CN"/>
        </w:rPr>
        <w:t>12</w:t>
      </w:r>
      <w:r>
        <w:rPr>
          <w:rFonts w:hint="eastAsia" w:ascii="宋体" w:hAnsi="宋体" w:eastAsia="宋体" w:cs="Times New Roman"/>
          <w:color w:val="FF0000"/>
        </w:rPr>
        <w:t>.4质量目标：参考行标WS-T 494：2017《临床定性免疫检验重要常规项目分析质量要求》，批内变异系数应&lt;10%,。批间变异系数应&lt;15%。</w:t>
      </w:r>
    </w:p>
    <w:p w14:paraId="50F174E6">
      <w:pPr>
        <w:spacing w:line="360" w:lineRule="auto"/>
        <w:ind w:firstLine="420" w:firstLineChars="0"/>
        <w:outlineLvl w:val="0"/>
        <w:rPr>
          <w:rFonts w:hint="eastAsia" w:ascii="宋体" w:hAnsi="宋体" w:eastAsia="宋体" w:cs="Times New Roman"/>
        </w:rPr>
      </w:pPr>
      <w:r>
        <w:rPr>
          <w:rFonts w:hint="eastAsia" w:ascii="宋体" w:hAnsi="宋体" w:eastAsia="宋体" w:cs="Times New Roman"/>
          <w:lang w:val="en-US" w:eastAsia="zh-CN"/>
        </w:rPr>
        <w:t>12</w:t>
      </w:r>
      <w:r>
        <w:rPr>
          <w:rFonts w:hint="eastAsia" w:ascii="宋体" w:hAnsi="宋体" w:eastAsia="宋体" w:cs="Times New Roman"/>
        </w:rPr>
        <w:t>.5如出现失控情况，按室内质控标准操作程序采取各种有效的纠正措施及时纠正，并在确认重新回复到控制状态后开始标本检测。</w:t>
      </w:r>
    </w:p>
    <w:p w14:paraId="63A87DC3">
      <w:pPr>
        <w:autoSpaceDE w:val="0"/>
        <w:autoSpaceDN w:val="0"/>
        <w:adjustRightInd w:val="0"/>
        <w:spacing w:after="125" w:line="360" w:lineRule="auto"/>
        <w:ind w:firstLine="420" w:firstLineChars="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Times New Roman"/>
          <w:lang w:val="en-US" w:eastAsia="zh-CN"/>
        </w:rPr>
        <w:t>12</w:t>
      </w:r>
      <w:r>
        <w:rPr>
          <w:rFonts w:hint="eastAsia" w:ascii="宋体" w:hAnsi="宋体" w:eastAsia="宋体" w:cs="Times New Roman"/>
        </w:rPr>
        <w:t>.</w:t>
      </w:r>
      <w:r>
        <w:rPr>
          <w:rFonts w:hint="eastAsia" w:ascii="宋体" w:hAnsi="宋体" w:eastAsia="宋体" w:cs="Times New Roman"/>
          <w:lang w:val="en-US" w:eastAsia="zh-CN"/>
        </w:rPr>
        <w:t xml:space="preserve">6 </w:t>
      </w:r>
      <w:r>
        <w:rPr>
          <w:rFonts w:hint="eastAsia" w:ascii="宋体" w:hAnsi="宋体" w:eastAsia="宋体" w:cs="宋体"/>
          <w:sz w:val="21"/>
          <w:szCs w:val="21"/>
        </w:rPr>
        <w:t>具体操作见《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ARCHITECT</w:t>
      </w:r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>Alinity i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微粒子化学发光免疫</w:t>
      </w:r>
      <w:r>
        <w:rPr>
          <w:rFonts w:hint="eastAsia" w:ascii="宋体" w:hAnsi="宋体" w:eastAsia="宋体" w:cs="宋体"/>
          <w:sz w:val="21"/>
          <w:szCs w:val="21"/>
        </w:rPr>
        <w:t>分析仪质控程序》。</w:t>
      </w:r>
      <w:bookmarkStart w:id="1" w:name="_GoBack"/>
      <w:bookmarkEnd w:id="1"/>
    </w:p>
    <w:p w14:paraId="48740D07">
      <w:pPr>
        <w:autoSpaceDE w:val="0"/>
        <w:autoSpaceDN w:val="0"/>
        <w:adjustRightInd w:val="0"/>
        <w:spacing w:after="125" w:line="360" w:lineRule="auto"/>
        <w:jc w:val="left"/>
        <w:rPr>
          <w:rFonts w:hint="eastAsia" w:ascii="宋体" w:hAnsi="宋体" w:cs="黑体"/>
          <w:b/>
          <w:bCs/>
          <w:color w:val="000000"/>
          <w:szCs w:val="21"/>
        </w:rPr>
      </w:pPr>
      <w:r>
        <w:rPr>
          <w:rFonts w:ascii="宋体" w:hAnsi="宋体" w:cs="黑体"/>
          <w:b/>
          <w:bCs/>
          <w:color w:val="000000"/>
          <w:szCs w:val="21"/>
        </w:rPr>
        <w:t xml:space="preserve">13 </w:t>
      </w:r>
      <w:r>
        <w:rPr>
          <w:rFonts w:hint="eastAsia" w:ascii="宋体" w:hAnsi="宋体" w:cs="黑体"/>
          <w:b/>
          <w:bCs/>
          <w:color w:val="000000"/>
          <w:szCs w:val="21"/>
        </w:rPr>
        <w:t>干扰和交叉反应</w:t>
      </w:r>
    </w:p>
    <w:p w14:paraId="4B76180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无</w:t>
      </w:r>
    </w:p>
    <w:p w14:paraId="43034446">
      <w:pPr>
        <w:autoSpaceDE w:val="0"/>
        <w:autoSpaceDN w:val="0"/>
        <w:adjustRightInd w:val="0"/>
        <w:spacing w:after="125" w:line="360" w:lineRule="auto"/>
        <w:jc w:val="left"/>
        <w:rPr>
          <w:rFonts w:hint="eastAsia" w:ascii="宋体" w:hAnsi="宋体" w:cs="黑体"/>
          <w:b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hAnsi="宋体" w:cs="黑体"/>
          <w:b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14 </w:t>
      </w:r>
      <w:r>
        <w:rPr>
          <w:rFonts w:hint="eastAsia" w:ascii="宋体" w:hAnsi="宋体" w:cs="黑体"/>
          <w:b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结果的计算程序</w:t>
      </w:r>
    </w:p>
    <w:p w14:paraId="41F1BA2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bidi="ar"/>
        </w:rPr>
        <w:t>仪器借助于定标曲线，自动地计算每一个样本的</w:t>
      </w:r>
      <w:r>
        <w:rPr>
          <w:rFonts w:hint="eastAsia" w:ascii="宋体" w:hAnsi="宋体" w:eastAsia="宋体" w:cs="宋体"/>
          <w:sz w:val="21"/>
          <w:szCs w:val="21"/>
        </w:rPr>
        <w:t>Anti-HBe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bidi="ar"/>
        </w:rPr>
        <w:t>浓度，结果以</w:t>
      </w:r>
      <w:r>
        <w:rPr>
          <w:rFonts w:hint="eastAsia" w:ascii="宋体" w:hAnsi="宋体" w:eastAsia="宋体" w:cs="宋体"/>
          <w:sz w:val="21"/>
          <w:szCs w:val="21"/>
        </w:rPr>
        <w:t>S/CO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bidi="ar"/>
        </w:rPr>
        <w:t xml:space="preserve"> 表示。</w:t>
      </w:r>
    </w:p>
    <w:p w14:paraId="3FD2F1C1">
      <w:pPr>
        <w:autoSpaceDE w:val="0"/>
        <w:autoSpaceDN w:val="0"/>
        <w:adjustRightInd w:val="0"/>
        <w:spacing w:after="125" w:line="360" w:lineRule="auto"/>
        <w:jc w:val="left"/>
        <w:rPr>
          <w:rFonts w:hint="eastAsia" w:ascii="宋体" w:hAnsi="宋体" w:cs="黑体"/>
          <w:b/>
          <w:bCs/>
          <w:color w:val="000000"/>
          <w:szCs w:val="21"/>
        </w:rPr>
      </w:pPr>
      <w:r>
        <w:rPr>
          <w:rFonts w:ascii="宋体" w:hAnsi="宋体" w:cs="黑体"/>
          <w:b/>
          <w:bCs/>
          <w:color w:val="000000"/>
          <w:szCs w:val="21"/>
        </w:rPr>
        <w:t xml:space="preserve">15 </w:t>
      </w:r>
      <w:r>
        <w:rPr>
          <w:rFonts w:hint="eastAsia" w:ascii="宋体" w:hAnsi="宋体" w:cs="黑体"/>
          <w:b/>
          <w:bCs/>
          <w:color w:val="000000"/>
          <w:szCs w:val="21"/>
        </w:rPr>
        <w:t>参考区间和（或）医学决定水平</w:t>
      </w:r>
    </w:p>
    <w:p w14:paraId="3373F1CC">
      <w:pPr>
        <w:pStyle w:val="37"/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ind w:firstLine="630" w:firstLineChars="300"/>
        <w:textAlignment w:val="auto"/>
        <w:rPr>
          <w:rFonts w:hint="eastAsia" w:ascii="宋体" w:hAnsi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</w:rPr>
        <w:t>阴性： ＞1.0 S/CO</w:t>
      </w:r>
    </w:p>
    <w:p w14:paraId="399FB10F">
      <w:pPr>
        <w:autoSpaceDE w:val="0"/>
        <w:autoSpaceDN w:val="0"/>
        <w:adjustRightInd w:val="0"/>
        <w:spacing w:after="125" w:line="360" w:lineRule="auto"/>
        <w:jc w:val="left"/>
        <w:rPr>
          <w:rFonts w:hint="eastAsia" w:ascii="宋体" w:hAnsi="宋体" w:cs="黑体"/>
          <w:b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hAnsi="宋体" w:cs="黑体"/>
          <w:b/>
          <w:bCs/>
          <w:color w:val="000000"/>
          <w:szCs w:val="21"/>
        </w:rPr>
        <w:t>16</w:t>
      </w:r>
      <w:r>
        <w:rPr>
          <w:rFonts w:ascii="宋体" w:hAnsi="宋体" w:cs="黑体"/>
          <w:b/>
          <w:bCs/>
          <w:color w:val="FF0000"/>
          <w:szCs w:val="21"/>
        </w:rPr>
        <w:t xml:space="preserve"> </w:t>
      </w:r>
      <w:r>
        <w:rPr>
          <w:rFonts w:hint="eastAsia" w:ascii="宋体" w:hAnsi="宋体" w:cs="黑体"/>
          <w:b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检验结果的可报告区间</w:t>
      </w:r>
    </w:p>
    <w:p w14:paraId="1AD3B528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napToGrid w:val="0"/>
        <w:spacing w:line="360" w:lineRule="auto"/>
        <w:ind w:firstLine="840" w:firstLineChars="400"/>
        <w:textAlignment w:val="auto"/>
        <w:rPr>
          <w:rFonts w:hint="eastAsia" w:ascii="宋体" w:hAnsi="宋体" w:eastAsia="宋体" w:cs="宋体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0-700 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S/CO</w:t>
      </w:r>
    </w:p>
    <w:p w14:paraId="5E22B008">
      <w:pPr>
        <w:autoSpaceDE w:val="0"/>
        <w:autoSpaceDN w:val="0"/>
        <w:adjustRightInd w:val="0"/>
        <w:spacing w:after="125" w:line="360" w:lineRule="auto"/>
        <w:jc w:val="left"/>
        <w:rPr>
          <w:rFonts w:hint="eastAsia" w:ascii="宋体" w:hAnsi="宋体" w:cs="黑体"/>
          <w:b/>
          <w:bCs/>
          <w:color w:val="000000"/>
          <w:szCs w:val="21"/>
        </w:rPr>
      </w:pPr>
      <w:r>
        <w:rPr>
          <w:rFonts w:ascii="宋体" w:hAnsi="宋体" w:cs="黑体"/>
          <w:b/>
          <w:bCs/>
          <w:color w:val="000000"/>
          <w:szCs w:val="21"/>
        </w:rPr>
        <w:t xml:space="preserve">17 </w:t>
      </w:r>
      <w:r>
        <w:rPr>
          <w:rFonts w:hint="eastAsia" w:ascii="宋体" w:hAnsi="宋体" w:cs="黑体"/>
          <w:b/>
          <w:bCs/>
          <w:color w:val="000000"/>
          <w:szCs w:val="21"/>
        </w:rPr>
        <w:t>定量结果超出测量区间时的说明</w:t>
      </w:r>
    </w:p>
    <w:p w14:paraId="1F6FED7B">
      <w:pPr>
        <w:numPr>
          <w:ilvl w:val="0"/>
          <w:numId w:val="0"/>
        </w:numPr>
        <w:autoSpaceDE w:val="0"/>
        <w:autoSpaceDN w:val="0"/>
        <w:adjustRightInd w:val="0"/>
        <w:spacing w:after="125" w:line="360" w:lineRule="auto"/>
        <w:ind w:firstLine="420" w:firstLineChars="0"/>
        <w:jc w:val="left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无</w:t>
      </w:r>
    </w:p>
    <w:p w14:paraId="5B155319">
      <w:pPr>
        <w:numPr>
          <w:ilvl w:val="0"/>
          <w:numId w:val="0"/>
        </w:numPr>
        <w:autoSpaceDE w:val="0"/>
        <w:autoSpaceDN w:val="0"/>
        <w:adjustRightInd w:val="0"/>
        <w:spacing w:after="125" w:line="360" w:lineRule="auto"/>
        <w:jc w:val="left"/>
        <w:rPr>
          <w:rFonts w:hint="eastAsia" w:ascii="宋体" w:hAnsi="宋体" w:cs="宋体"/>
          <w:b/>
          <w:bCs/>
          <w:szCs w:val="21"/>
        </w:rPr>
      </w:pPr>
      <w:r>
        <w:rPr>
          <w:rFonts w:ascii="宋体" w:hAnsi="宋体" w:cs="黑体"/>
          <w:b/>
          <w:bCs/>
          <w:color w:val="000000"/>
          <w:szCs w:val="21"/>
        </w:rPr>
        <w:t>1</w:t>
      </w:r>
      <w:r>
        <w:rPr>
          <w:rFonts w:hint="default" w:ascii="宋体" w:hAnsi="宋体" w:cs="黑体"/>
          <w:b/>
          <w:bCs/>
          <w:color w:val="000000"/>
          <w:szCs w:val="21"/>
          <w:lang w:val="en-US"/>
        </w:rPr>
        <w:t xml:space="preserve">8 </w:t>
      </w:r>
      <w:r>
        <w:rPr>
          <w:rFonts w:hint="eastAsia" w:ascii="宋体" w:hAnsi="宋体" w:cs="宋体"/>
          <w:b/>
          <w:bCs/>
          <w:szCs w:val="21"/>
        </w:rPr>
        <w:t>警示值或危急值</w:t>
      </w:r>
    </w:p>
    <w:p w14:paraId="42FD99FE">
      <w:pPr>
        <w:numPr>
          <w:ilvl w:val="0"/>
          <w:numId w:val="0"/>
        </w:numPr>
        <w:autoSpaceDE w:val="0"/>
        <w:autoSpaceDN w:val="0"/>
        <w:adjustRightInd w:val="0"/>
        <w:spacing w:after="125" w:line="360" w:lineRule="auto"/>
        <w:ind w:firstLine="420" w:firstLineChars="0"/>
        <w:jc w:val="left"/>
        <w:rPr>
          <w:rFonts w:hint="eastAsia" w:ascii="宋体" w:hAnsi="宋体" w:cs="宋体"/>
          <w:b/>
          <w:bCs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bidi="ar"/>
        </w:rPr>
        <w:t>本项目不设危急值</w:t>
      </w:r>
    </w:p>
    <w:p w14:paraId="5C21DB7E">
      <w:pPr>
        <w:autoSpaceDE w:val="0"/>
        <w:autoSpaceDN w:val="0"/>
        <w:adjustRightInd w:val="0"/>
        <w:spacing w:after="125" w:line="360" w:lineRule="auto"/>
        <w:jc w:val="left"/>
        <w:rPr>
          <w:rFonts w:hint="eastAsia" w:ascii="宋体" w:hAnsi="宋体" w:cs="黑体"/>
          <w:b/>
          <w:bCs/>
          <w:color w:val="000000"/>
          <w:szCs w:val="21"/>
        </w:rPr>
      </w:pPr>
      <w:r>
        <w:rPr>
          <w:rFonts w:ascii="宋体" w:hAnsi="宋体" w:cs="黑体"/>
          <w:b/>
          <w:bCs/>
          <w:color w:val="000000"/>
          <w:szCs w:val="21"/>
        </w:rPr>
        <w:t>1</w:t>
      </w:r>
      <w:r>
        <w:rPr>
          <w:rFonts w:hint="eastAsia" w:ascii="宋体" w:hAnsi="宋体" w:cs="黑体"/>
          <w:b/>
          <w:bCs/>
          <w:color w:val="000000"/>
          <w:szCs w:val="21"/>
        </w:rPr>
        <w:t>9</w:t>
      </w:r>
      <w:r>
        <w:rPr>
          <w:rFonts w:ascii="宋体" w:hAnsi="宋体" w:cs="黑体"/>
          <w:b/>
          <w:bCs/>
          <w:color w:val="000000"/>
          <w:szCs w:val="21"/>
        </w:rPr>
        <w:t xml:space="preserve"> </w:t>
      </w:r>
      <w:r>
        <w:rPr>
          <w:rFonts w:hint="eastAsia" w:ascii="宋体" w:hAnsi="宋体" w:cs="黑体"/>
          <w:b/>
          <w:bCs/>
          <w:color w:val="000000"/>
          <w:szCs w:val="21"/>
        </w:rPr>
        <w:t>临床解释</w:t>
      </w:r>
    </w:p>
    <w:p w14:paraId="76DBF70D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z w:val="21"/>
          <w:szCs w:val="21"/>
        </w:rPr>
        <w:t>作为辅助方法诊断和监测乙型肝炎病毒（HBV）感染。</w:t>
      </w:r>
    </w:p>
    <w:p w14:paraId="7DFDA5D3">
      <w:pPr>
        <w:autoSpaceDE w:val="0"/>
        <w:autoSpaceDN w:val="0"/>
        <w:adjustRightInd w:val="0"/>
        <w:spacing w:after="125" w:line="360" w:lineRule="auto"/>
        <w:jc w:val="left"/>
        <w:rPr>
          <w:rFonts w:hint="eastAsia" w:ascii="宋体" w:hAnsi="宋体" w:cs="黑体"/>
          <w:b/>
          <w:bCs/>
          <w:color w:val="000000"/>
          <w:szCs w:val="21"/>
        </w:rPr>
      </w:pPr>
      <w:r>
        <w:rPr>
          <w:rFonts w:hint="eastAsia" w:ascii="宋体" w:hAnsi="宋体" w:cs="黑体"/>
          <w:b/>
          <w:bCs/>
          <w:color w:val="000000"/>
          <w:szCs w:val="21"/>
        </w:rPr>
        <w:t>20</w:t>
      </w:r>
      <w:r>
        <w:rPr>
          <w:rFonts w:ascii="宋体" w:hAnsi="宋体" w:cs="黑体"/>
          <w:b/>
          <w:bCs/>
          <w:color w:val="000000"/>
          <w:szCs w:val="21"/>
        </w:rPr>
        <w:t xml:space="preserve"> </w:t>
      </w:r>
      <w:r>
        <w:rPr>
          <w:rFonts w:hint="eastAsia" w:ascii="宋体" w:hAnsi="宋体" w:cs="黑体"/>
          <w:b/>
          <w:bCs/>
          <w:color w:val="000000"/>
          <w:szCs w:val="21"/>
        </w:rPr>
        <w:t>潜在变异来源</w:t>
      </w:r>
    </w:p>
    <w:p w14:paraId="4494DB26">
      <w:pPr>
        <w:autoSpaceDE w:val="0"/>
        <w:autoSpaceDN w:val="0"/>
        <w:adjustRightInd w:val="0"/>
        <w:spacing w:line="360" w:lineRule="auto"/>
        <w:ind w:firstLine="420" w:firstLineChars="0"/>
        <w:jc w:val="left"/>
        <w:rPr>
          <w:rFonts w:hint="eastAsia" w:ascii="宋体" w:hAnsi="宋体" w:eastAsia="宋体" w:cs="Times New Roman"/>
          <w:lang w:val="en-US" w:eastAsia="zh-CN"/>
        </w:rPr>
      </w:pPr>
      <w:r>
        <w:rPr>
          <w:rFonts w:hint="eastAsia" w:ascii="宋体" w:hAnsi="宋体" w:eastAsia="宋体" w:cs="Times New Roman"/>
          <w:lang w:val="en-US" w:eastAsia="zh-CN"/>
        </w:rPr>
        <w:t>20.1 接受小鼠单克隆抗体制剂诊断或治疗的患者，其样本中可能</w:t>
      </w:r>
      <w:r>
        <w:rPr>
          <w:rFonts w:hint="default" w:ascii="宋体" w:hAnsi="宋体" w:eastAsia="宋体" w:cs="Times New Roman"/>
          <w:lang w:val="en-US" w:eastAsia="zh-CN"/>
        </w:rPr>
        <w:t>含有人抗小鼠抗体(HAMA)。使用含有小鼠单克隆抗体的试剂盒检测此类样本时，检测值可能会假性升高或降低。</w:t>
      </w:r>
    </w:p>
    <w:p w14:paraId="23716AB9">
      <w:pPr>
        <w:autoSpaceDE w:val="0"/>
        <w:autoSpaceDN w:val="0"/>
        <w:adjustRightInd w:val="0"/>
        <w:spacing w:line="360" w:lineRule="auto"/>
        <w:ind w:firstLine="420" w:firstLineChars="0"/>
        <w:jc w:val="left"/>
        <w:rPr>
          <w:rFonts w:hint="eastAsia" w:ascii="宋体" w:hAnsi="宋体" w:eastAsia="宋体" w:cs="Times New Roman"/>
          <w:lang w:val="en-US" w:eastAsia="zh-CN"/>
        </w:rPr>
      </w:pPr>
      <w:r>
        <w:rPr>
          <w:rFonts w:hint="eastAsia" w:ascii="宋体" w:hAnsi="宋体" w:eastAsia="宋体" w:cs="Times New Roman"/>
          <w:lang w:val="en-US" w:eastAsia="zh-CN"/>
        </w:rPr>
        <w:t xml:space="preserve">20.2 </w:t>
      </w:r>
      <w:r>
        <w:rPr>
          <w:rFonts w:hint="default" w:ascii="宋体" w:hAnsi="宋体" w:eastAsia="宋体" w:cs="Times New Roman"/>
          <w:lang w:val="en-US" w:eastAsia="zh-CN"/>
        </w:rPr>
        <w:t xml:space="preserve">检测结果用于诊断时，应当与患者病史和用于诊断急性或慢 </w:t>
      </w:r>
    </w:p>
    <w:p w14:paraId="77ECAA9C"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Times New Roman"/>
          <w:lang w:val="en-US" w:eastAsia="zh-CN"/>
        </w:rPr>
      </w:pPr>
      <w:r>
        <w:rPr>
          <w:rFonts w:hint="default" w:ascii="宋体" w:hAnsi="宋体" w:eastAsia="宋体" w:cs="Times New Roman"/>
          <w:lang w:val="en-US" w:eastAsia="zh-CN"/>
        </w:rPr>
        <w:t xml:space="preserve">性感染的其他肝炎标志物结合使用。 </w:t>
      </w:r>
    </w:p>
    <w:p w14:paraId="55AA1841">
      <w:pPr>
        <w:autoSpaceDE w:val="0"/>
        <w:autoSpaceDN w:val="0"/>
        <w:adjustRightInd w:val="0"/>
        <w:spacing w:line="360" w:lineRule="auto"/>
        <w:ind w:firstLine="420" w:firstLineChars="0"/>
        <w:jc w:val="left"/>
        <w:rPr>
          <w:rFonts w:hint="eastAsia" w:ascii="宋体" w:hAnsi="宋体" w:eastAsia="宋体" w:cs="Times New Roman"/>
          <w:lang w:val="en-US" w:eastAsia="zh-CN"/>
        </w:rPr>
      </w:pPr>
      <w:r>
        <w:rPr>
          <w:rFonts w:hint="eastAsia" w:ascii="宋体" w:hAnsi="宋体" w:eastAsia="宋体" w:cs="Times New Roman"/>
          <w:lang w:val="en-US" w:eastAsia="zh-CN"/>
        </w:rPr>
        <w:t xml:space="preserve">20.3 </w:t>
      </w:r>
      <w:r>
        <w:rPr>
          <w:rFonts w:hint="default" w:ascii="宋体" w:hAnsi="宋体" w:eastAsia="宋体" w:cs="Times New Roman"/>
          <w:lang w:val="en-US" w:eastAsia="zh-CN"/>
        </w:rPr>
        <w:t xml:space="preserve">含有颗粒物质或红细胞的样本在检测前必须进行离心。  </w:t>
      </w:r>
    </w:p>
    <w:p w14:paraId="77E3A493">
      <w:pPr>
        <w:autoSpaceDE w:val="0"/>
        <w:autoSpaceDN w:val="0"/>
        <w:adjustRightInd w:val="0"/>
        <w:spacing w:line="360" w:lineRule="auto"/>
        <w:ind w:firstLine="420" w:firstLineChars="200"/>
        <w:jc w:val="left"/>
        <w:rPr>
          <w:rFonts w:hint="eastAsia" w:ascii="宋体" w:hAnsi="宋体" w:eastAsia="宋体" w:cs="Times New Roman"/>
          <w:lang w:val="en-US" w:eastAsia="zh-CN"/>
        </w:rPr>
      </w:pPr>
      <w:r>
        <w:rPr>
          <w:rFonts w:hint="eastAsia" w:ascii="宋体" w:hAnsi="宋体" w:eastAsia="宋体" w:cs="Times New Roman"/>
          <w:lang w:val="en-US" w:eastAsia="zh-CN"/>
        </w:rPr>
        <w:t xml:space="preserve">20.4 </w:t>
      </w:r>
      <w:r>
        <w:rPr>
          <w:rFonts w:hint="default" w:ascii="宋体" w:hAnsi="宋体" w:eastAsia="宋体" w:cs="Times New Roman"/>
          <w:lang w:val="en-US" w:eastAsia="zh-CN"/>
        </w:rPr>
        <w:t xml:space="preserve">不能使用热灭活样本。 </w:t>
      </w:r>
    </w:p>
    <w:p w14:paraId="54C7E0ED">
      <w:pPr>
        <w:autoSpaceDE w:val="0"/>
        <w:autoSpaceDN w:val="0"/>
        <w:adjustRightInd w:val="0"/>
        <w:spacing w:line="360" w:lineRule="auto"/>
        <w:ind w:firstLine="420" w:firstLineChars="0"/>
        <w:jc w:val="left"/>
        <w:rPr>
          <w:rFonts w:hint="eastAsia" w:ascii="宋体" w:hAnsi="宋体" w:eastAsia="宋体" w:cs="宋体"/>
          <w:kern w:val="0"/>
          <w:sz w:val="21"/>
          <w:szCs w:val="21"/>
          <w:lang w:eastAsia="zh-CN"/>
        </w:rPr>
      </w:pPr>
      <w:r>
        <w:rPr>
          <w:rFonts w:hint="eastAsia" w:ascii="宋体" w:hAnsi="宋体" w:eastAsia="宋体" w:cs="Times New Roman"/>
          <w:lang w:val="en-US" w:eastAsia="zh-CN"/>
        </w:rPr>
        <w:t xml:space="preserve">20.5 </w:t>
      </w:r>
      <w:r>
        <w:rPr>
          <w:rFonts w:hint="default" w:ascii="宋体" w:hAnsi="宋体" w:eastAsia="宋体" w:cs="Times New Roman"/>
          <w:lang w:val="en-US" w:eastAsia="zh-CN"/>
        </w:rPr>
        <w:t>接受肝素治疗的患者，其样本可能会凝固不完全。样本中纤维蛋白的存在可能会导致检测结果错误。为避免这种情况，应在肝素治疗前采集样本。</w:t>
      </w:r>
    </w:p>
    <w:p w14:paraId="4A819F01">
      <w:pPr>
        <w:autoSpaceDE w:val="0"/>
        <w:autoSpaceDN w:val="0"/>
        <w:adjustRightInd w:val="0"/>
        <w:spacing w:after="125" w:line="360" w:lineRule="auto"/>
        <w:jc w:val="left"/>
        <w:rPr>
          <w:rFonts w:hint="eastAsia" w:ascii="宋体" w:hAnsi="宋体" w:cs="黑体"/>
          <w:b/>
          <w:bCs/>
          <w:color w:val="FF0000"/>
          <w:szCs w:val="21"/>
        </w:rPr>
      </w:pPr>
      <w:r>
        <w:rPr>
          <w:rFonts w:ascii="宋体" w:hAnsi="宋体" w:cs="黑体"/>
          <w:b/>
          <w:bCs/>
          <w:color w:val="000000"/>
          <w:szCs w:val="21"/>
        </w:rPr>
        <w:t>2</w:t>
      </w:r>
      <w:r>
        <w:rPr>
          <w:rFonts w:hint="eastAsia" w:ascii="宋体" w:hAnsi="宋体" w:cs="黑体"/>
          <w:b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1</w:t>
      </w:r>
      <w:r>
        <w:rPr>
          <w:rFonts w:ascii="宋体" w:hAnsi="宋体" w:cs="黑体"/>
          <w:b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cs="黑体"/>
          <w:b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检验结果报告方式</w:t>
      </w:r>
      <w:r>
        <w:rPr>
          <w:rFonts w:ascii="宋体" w:hAnsi="宋体" w:cs="黑体"/>
          <w:b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</w:t>
      </w:r>
    </w:p>
    <w:tbl>
      <w:tblPr>
        <w:tblStyle w:val="13"/>
        <w:tblW w:w="4379" w:type="dxa"/>
        <w:tblInd w:w="115" w:type="dxa"/>
        <w:tblBorders>
          <w:top w:val="none" w:color="auto" w:sz="6" w:space="0"/>
          <w:left w:val="none" w:color="auto" w:sz="6" w:space="0"/>
          <w:bottom w:val="none" w:color="auto" w:sz="6" w:space="0"/>
          <w:right w:val="none" w:color="auto" w:sz="6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0"/>
        <w:gridCol w:w="801"/>
        <w:gridCol w:w="898"/>
        <w:gridCol w:w="1670"/>
      </w:tblGrid>
      <w:tr w14:paraId="6F939071">
        <w:trPr>
          <w:trHeight w:val="423" w:hRule="atLeast"/>
        </w:trPr>
        <w:tc>
          <w:tcPr>
            <w:tcW w:w="1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69BDBD5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检验项目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2F163DA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单位</w:t>
            </w:r>
          </w:p>
        </w:tc>
        <w:tc>
          <w:tcPr>
            <w:tcW w:w="8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0347F13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结果</w:t>
            </w:r>
          </w:p>
        </w:tc>
        <w:tc>
          <w:tcPr>
            <w:tcW w:w="1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79FE3BC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参考区间</w:t>
            </w:r>
          </w:p>
        </w:tc>
      </w:tr>
      <w:tr w14:paraId="4EFB7D46">
        <w:trPr>
          <w:trHeight w:val="410" w:hRule="atLeast"/>
        </w:trPr>
        <w:tc>
          <w:tcPr>
            <w:tcW w:w="1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0B19449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总胆固醇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bottom"/>
          </w:tcPr>
          <w:p w14:paraId="6368894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 xml:space="preserve">mmol/L </w:t>
            </w:r>
          </w:p>
        </w:tc>
        <w:tc>
          <w:tcPr>
            <w:tcW w:w="898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bottom"/>
          </w:tcPr>
          <w:p w14:paraId="3C6651E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 xml:space="preserve">4.8 </w:t>
            </w:r>
          </w:p>
        </w:tc>
        <w:tc>
          <w:tcPr>
            <w:tcW w:w="167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bottom"/>
          </w:tcPr>
          <w:p w14:paraId="3103054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 xml:space="preserve">0-700 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S/CO</w:t>
            </w:r>
          </w:p>
        </w:tc>
      </w:tr>
      <w:tr w14:paraId="1EDD3517">
        <w:trPr>
          <w:trHeight w:val="410" w:hRule="atLeast"/>
        </w:trPr>
        <w:tc>
          <w:tcPr>
            <w:tcW w:w="1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bottom"/>
          </w:tcPr>
          <w:p w14:paraId="55562AE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default" w:ascii="宋体" w:hAnsi="宋体" w:eastAsia="宋体" w:cs="宋体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备注</w:t>
            </w: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bottom"/>
          </w:tcPr>
          <w:p w14:paraId="1530115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bottom"/>
          </w:tcPr>
          <w:p w14:paraId="1C49C61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6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0A2013F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</w:p>
        </w:tc>
      </w:tr>
    </w:tbl>
    <w:p w14:paraId="7360221F">
      <w:pPr>
        <w:numPr>
          <w:ilvl w:val="0"/>
          <w:numId w:val="0"/>
        </w:numPr>
        <w:autoSpaceDE w:val="0"/>
        <w:autoSpaceDN w:val="0"/>
        <w:adjustRightInd w:val="0"/>
        <w:spacing w:line="360" w:lineRule="auto"/>
        <w:jc w:val="left"/>
        <w:rPr>
          <w:rFonts w:hint="eastAsia"/>
          <w:color w:val="auto"/>
          <w:lang w:val="en-US" w:eastAsia="zh-CN"/>
        </w:rPr>
      </w:pPr>
      <w:r>
        <w:rPr>
          <w:rFonts w:ascii="宋体" w:hAnsi="宋体" w:cs="黑体"/>
          <w:b/>
          <w:bCs/>
          <w:color w:val="auto"/>
          <w:szCs w:val="21"/>
        </w:rPr>
        <w:t>2</w:t>
      </w:r>
      <w:r>
        <w:rPr>
          <w:rFonts w:hint="eastAsia" w:ascii="宋体" w:hAnsi="宋体" w:cs="黑体"/>
          <w:b/>
          <w:bCs/>
          <w:color w:val="auto"/>
          <w:szCs w:val="21"/>
        </w:rPr>
        <w:t>2</w:t>
      </w:r>
      <w:r>
        <w:rPr>
          <w:rFonts w:ascii="宋体" w:hAnsi="宋体" w:cs="黑体"/>
          <w:b/>
          <w:bCs/>
          <w:color w:val="auto"/>
          <w:szCs w:val="21"/>
        </w:rPr>
        <w:t xml:space="preserve"> </w:t>
      </w:r>
      <w:r>
        <w:rPr>
          <w:rFonts w:hint="eastAsia" w:ascii="宋体" w:hAnsi="宋体" w:cs="黑体"/>
          <w:b/>
          <w:bCs/>
          <w:color w:val="auto"/>
          <w:szCs w:val="21"/>
        </w:rPr>
        <w:t>参考文献</w:t>
      </w:r>
    </w:p>
    <w:p w14:paraId="7968F87A">
      <w:pPr>
        <w:pStyle w:val="37"/>
        <w:spacing w:line="360" w:lineRule="auto"/>
        <w:ind w:firstLine="420" w:firstLineChars="0"/>
        <w:rPr>
          <w:rFonts w:hint="eastAsia" w:asciiTheme="minorEastAsia" w:hAnsiTheme="minorEastAsia" w:eastAsiaTheme="minorEastAsia" w:cstheme="minorEastAsia"/>
          <w:kern w:val="2"/>
          <w:sz w:val="21"/>
          <w:szCs w:val="21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kern w:val="2"/>
          <w:sz w:val="21"/>
          <w:szCs w:val="21"/>
          <w:lang w:val="en-US" w:eastAsia="zh-CN" w:bidi="ar-SA"/>
        </w:rPr>
        <w:t>22.1.ARCHITECTAlinityi系统操作手册</w:t>
      </w:r>
    </w:p>
    <w:p w14:paraId="0C7132E2">
      <w:pPr>
        <w:pStyle w:val="12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kern w:val="2"/>
          <w:sz w:val="21"/>
          <w:szCs w:val="21"/>
          <w:lang w:val="en-US" w:eastAsia="zh-CN" w:bidi="ar-SA"/>
        </w:rPr>
        <w:t>22.</w:t>
      </w:r>
      <w:r>
        <w:rPr>
          <w:rFonts w:hint="default" w:asciiTheme="minorEastAsia" w:hAnsiTheme="minorEastAsia" w:eastAsiaTheme="minorEastAsia" w:cstheme="minorEastAsia"/>
          <w:kern w:val="2"/>
          <w:sz w:val="21"/>
          <w:szCs w:val="21"/>
          <w:lang w:val="en-US" w:eastAsia="zh-CN" w:bidi="ar-SA"/>
        </w:rPr>
        <w:t>2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ARCHITECTAlinityi全自动化学发光免疫分析仪操作说明书</w:t>
      </w:r>
    </w:p>
    <w:p w14:paraId="7D3049AE">
      <w:pPr>
        <w:pStyle w:val="12"/>
        <w:rPr>
          <w:rFonts w:hint="default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22.</w:t>
      </w:r>
      <w:r>
        <w:rPr>
          <w:rFonts w:hint="default" w:asciiTheme="minorEastAsia" w:hAnsiTheme="minorEastAsia" w:eastAsiaTheme="minorEastAsia" w:cstheme="minorEastAsia"/>
          <w:sz w:val="21"/>
          <w:szCs w:val="21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寇丽筠、陈宏础主编，临床基础检验</w:t>
      </w:r>
    </w:p>
    <w:p w14:paraId="537C0C62">
      <w:pPr>
        <w:autoSpaceDE w:val="0"/>
        <w:autoSpaceDN w:val="0"/>
        <w:adjustRightInd w:val="0"/>
        <w:spacing w:after="125" w:line="360" w:lineRule="auto"/>
        <w:ind w:firstLine="420" w:firstLineChars="200"/>
        <w:jc w:val="left"/>
        <w:rPr>
          <w:rFonts w:hint="eastAsia" w:asciiTheme="minorEastAsia" w:hAnsiTheme="minorEastAsia" w:eastAsiaTheme="minorEastAsia" w:cstheme="minorEastAsia"/>
          <w:color w:val="000000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22.</w:t>
      </w:r>
      <w:r>
        <w:rPr>
          <w:rFonts w:hint="default" w:asciiTheme="minorEastAsia" w:hAnsiTheme="minorEastAsia" w:eastAsiaTheme="minorEastAsia" w:cstheme="minorEastAsia"/>
          <w:sz w:val="21"/>
          <w:szCs w:val="21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尚红</w:t>
      </w:r>
      <w:r>
        <w:rPr>
          <w:rFonts w:hint="default" w:asciiTheme="minorEastAsia" w:hAnsiTheme="minorEastAsia" w:eastAsiaTheme="minorEastAsia" w:cstheme="minorEastAsia"/>
          <w:sz w:val="21"/>
          <w:szCs w:val="21"/>
          <w:lang w:val="en-US" w:eastAsia="zh-CN"/>
        </w:rPr>
        <w:t>,</w:t>
      </w:r>
      <w:r>
        <w:rPr>
          <w:rFonts w:hint="eastAsia" w:asciiTheme="minorEastAsia" w:hAnsiTheme="minorEastAsia" w:eastAsiaTheme="minorEastAsia" w:cstheme="minorEastAsia"/>
          <w:kern w:val="2"/>
          <w:sz w:val="21"/>
          <w:szCs w:val="21"/>
          <w:lang w:val="en-US" w:eastAsia="zh-CN" w:bidi="ar-SA"/>
        </w:rPr>
        <w:t>王毓三申</w:t>
      </w:r>
      <w:r>
        <w:rPr>
          <w:rFonts w:hint="default" w:asciiTheme="minorEastAsia" w:hAnsiTheme="minorEastAsia" w:eastAsiaTheme="minorEastAsia" w:cstheme="minorEastAsia"/>
          <w:kern w:val="2"/>
          <w:sz w:val="21"/>
          <w:szCs w:val="21"/>
          <w:lang w:val="en-US" w:eastAsia="zh-CN" w:bidi="ar-SA"/>
        </w:rPr>
        <w:t>.</w:t>
      </w:r>
      <w:r>
        <w:rPr>
          <w:rFonts w:hint="eastAsia" w:asciiTheme="minorEastAsia" w:hAnsiTheme="minorEastAsia" w:eastAsiaTheme="minorEastAsia" w:cstheme="minorEastAsia"/>
          <w:kern w:val="2"/>
          <w:sz w:val="21"/>
          <w:szCs w:val="21"/>
          <w:lang w:val="en-US" w:eastAsia="zh-CN" w:bidi="ar-SA"/>
        </w:rPr>
        <w:t>子瑜.全国临床检验操作规程[M].第4版.北京:人民卫生出版社,2015</w:t>
      </w:r>
    </w:p>
    <w:p w14:paraId="5E5E6908">
      <w:pPr>
        <w:autoSpaceDE w:val="0"/>
        <w:autoSpaceDN w:val="0"/>
        <w:adjustRightInd w:val="0"/>
        <w:spacing w:after="125" w:line="360" w:lineRule="auto"/>
        <w:jc w:val="left"/>
        <w:rPr>
          <w:rFonts w:hint="eastAsia" w:ascii="宋体" w:hAnsi="宋体" w:cs="黑体"/>
          <w:b/>
          <w:bCs/>
          <w:color w:val="auto"/>
          <w:szCs w:val="21"/>
        </w:rPr>
      </w:pPr>
      <w:r>
        <w:rPr>
          <w:rFonts w:ascii="宋体" w:hAnsi="宋体" w:cs="黑体"/>
          <w:b/>
          <w:bCs/>
          <w:color w:val="auto"/>
          <w:szCs w:val="21"/>
        </w:rPr>
        <w:t>2</w:t>
      </w:r>
      <w:r>
        <w:rPr>
          <w:rFonts w:hint="eastAsia" w:ascii="宋体" w:hAnsi="宋体" w:cs="黑体"/>
          <w:b/>
          <w:bCs/>
          <w:color w:val="auto"/>
          <w:szCs w:val="21"/>
        </w:rPr>
        <w:t>3</w:t>
      </w:r>
      <w:r>
        <w:rPr>
          <w:rFonts w:ascii="宋体" w:hAnsi="宋体" w:cs="黑体"/>
          <w:b/>
          <w:bCs/>
          <w:color w:val="auto"/>
          <w:szCs w:val="21"/>
        </w:rPr>
        <w:t xml:space="preserve"> </w:t>
      </w:r>
      <w:r>
        <w:rPr>
          <w:rFonts w:hint="eastAsia" w:ascii="宋体" w:hAnsi="宋体" w:cs="黑体"/>
          <w:b/>
          <w:bCs/>
          <w:color w:val="auto"/>
          <w:szCs w:val="21"/>
        </w:rPr>
        <w:t>附件或附录</w:t>
      </w:r>
    </w:p>
    <w:p w14:paraId="366CE10C">
      <w:pPr>
        <w:numPr>
          <w:ilvl w:val="0"/>
          <w:numId w:val="4"/>
        </w:num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cs="宋体"/>
          <w:color w:val="FF0000"/>
          <w:szCs w:val="21"/>
        </w:rPr>
      </w:pPr>
      <w:r>
        <w:rPr>
          <w:rFonts w:ascii="宋体" w:hAnsi="宋体" w:cs="黑体"/>
          <w:color w:val="auto"/>
          <w:szCs w:val="21"/>
        </w:rPr>
        <w:t>2</w:t>
      </w:r>
      <w:r>
        <w:rPr>
          <w:rFonts w:hint="eastAsia" w:ascii="宋体" w:hAnsi="宋体" w:cs="黑体"/>
          <w:color w:val="auto"/>
          <w:szCs w:val="21"/>
          <w:lang w:val="en-US" w:eastAsia="zh-CN"/>
        </w:rPr>
        <w:t>3</w:t>
      </w:r>
      <w:r>
        <w:rPr>
          <w:rFonts w:ascii="宋体" w:hAnsi="宋体" w:cs="黑体"/>
          <w:color w:val="auto"/>
          <w:szCs w:val="21"/>
        </w:rPr>
        <w:t>.1</w:t>
      </w:r>
      <w:r>
        <w:rPr>
          <w:rFonts w:hint="eastAsia" w:ascii="宋体" w:hAnsi="宋体" w:cs="黑体"/>
          <w:color w:val="auto"/>
          <w:szCs w:val="21"/>
          <w:lang w:val="en-US" w:eastAsia="zh-CN"/>
        </w:rPr>
        <w:t>安亭</w:t>
      </w:r>
      <w:r>
        <w:rPr>
          <w:rFonts w:hint="eastAsia" w:ascii="宋体" w:hAnsi="宋体" w:cs="宋体"/>
          <w:color w:val="auto"/>
          <w:szCs w:val="21"/>
        </w:rPr>
        <w:t>医院检验科</w:t>
      </w:r>
      <w:r>
        <w:rPr>
          <w:rFonts w:ascii="宋体" w:hAnsi="宋体" w:cstheme="minorBidi"/>
          <w:szCs w:val="21"/>
        </w:rPr>
        <w:t>编号</w:t>
      </w:r>
      <w:r>
        <w:rPr>
          <w:rFonts w:ascii="宋体" w:hAnsi="宋体" w:cstheme="minorBidi"/>
          <w:szCs w:val="21"/>
          <w:highlight w:val="red"/>
        </w:rPr>
        <w:t>XXX</w:t>
      </w:r>
      <w:r>
        <w:rPr>
          <w:rFonts w:ascii="宋体" w:hAnsi="宋体" w:cstheme="minorBidi"/>
          <w:szCs w:val="21"/>
        </w:rPr>
        <w:t>的</w:t>
      </w:r>
      <w:r>
        <w:rPr>
          <w:rFonts w:hint="eastAsia" w:ascii="宋体" w:hAnsi="宋体"/>
          <w:sz w:val="21"/>
          <w:szCs w:val="21"/>
        </w:rPr>
        <w:t>《</w:t>
      </w:r>
      <w:r>
        <w:rPr>
          <w:rFonts w:hint="eastAsia" w:ascii="宋体" w:hAnsi="宋体"/>
          <w:color w:val="000000"/>
          <w:sz w:val="21"/>
          <w:szCs w:val="21"/>
        </w:rPr>
        <w:t>ARCHITECTAlinityi全自动化学发光免疫</w:t>
      </w:r>
      <w:r>
        <w:rPr>
          <w:rFonts w:hint="eastAsia" w:ascii="宋体" w:hAnsi="宋体"/>
          <w:sz w:val="21"/>
          <w:szCs w:val="21"/>
        </w:rPr>
        <w:t>分析仪校准程序》</w:t>
      </w:r>
      <w:r>
        <w:rPr>
          <w:rFonts w:ascii="宋体" w:hAnsi="宋体" w:cstheme="minorBidi"/>
          <w:szCs w:val="21"/>
        </w:rPr>
        <w:t>。</w:t>
      </w:r>
    </w:p>
    <w:p w14:paraId="425A948C">
      <w:pPr>
        <w:numPr>
          <w:ilvl w:val="0"/>
          <w:numId w:val="4"/>
        </w:numPr>
        <w:autoSpaceDE w:val="0"/>
        <w:autoSpaceDN w:val="0"/>
        <w:adjustRightInd w:val="0"/>
        <w:spacing w:line="360" w:lineRule="auto"/>
        <w:jc w:val="both"/>
        <w:rPr>
          <w:rFonts w:hint="eastAsia" w:ascii="宋体" w:hAnsi="宋体" w:cs="宋体"/>
          <w:color w:val="auto"/>
          <w:szCs w:val="21"/>
        </w:rPr>
      </w:pPr>
      <w:r>
        <w:rPr>
          <w:rFonts w:hint="eastAsia" w:ascii="宋体" w:hAnsi="宋体" w:cs="黑体"/>
          <w:color w:val="auto"/>
          <w:szCs w:val="21"/>
          <w:lang w:val="en-US" w:eastAsia="zh-CN"/>
        </w:rPr>
        <w:t>23</w:t>
      </w:r>
      <w:r>
        <w:rPr>
          <w:rFonts w:ascii="宋体" w:hAnsi="宋体" w:cs="黑体"/>
          <w:color w:val="auto"/>
          <w:szCs w:val="21"/>
        </w:rPr>
        <w:t>.2</w:t>
      </w:r>
      <w:r>
        <w:rPr>
          <w:rFonts w:hint="eastAsia" w:ascii="宋体" w:hAnsi="宋体" w:cs="黑体"/>
          <w:color w:val="auto"/>
          <w:szCs w:val="21"/>
          <w:lang w:val="en-US" w:eastAsia="zh-CN"/>
        </w:rPr>
        <w:t>安亭</w:t>
      </w:r>
      <w:r>
        <w:rPr>
          <w:rFonts w:hint="eastAsia" w:ascii="宋体" w:hAnsi="宋体" w:cs="宋体"/>
          <w:color w:val="auto"/>
          <w:szCs w:val="21"/>
        </w:rPr>
        <w:t>医院检验科</w:t>
      </w:r>
      <w:r>
        <w:rPr>
          <w:rFonts w:ascii="宋体" w:hAnsi="宋体" w:cstheme="minorBidi"/>
          <w:color w:val="auto"/>
          <w:szCs w:val="21"/>
        </w:rPr>
        <w:t>编号</w:t>
      </w:r>
      <w:r>
        <w:rPr>
          <w:rFonts w:ascii="宋体" w:hAnsi="宋体" w:cs="宋体"/>
          <w:color w:val="auto"/>
          <w:szCs w:val="21"/>
          <w:highlight w:val="red"/>
        </w:rPr>
        <w:t>XXX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《ARCHITECT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val="en-US" w:eastAsia="zh-CN" w:bidi="ar"/>
        </w:rPr>
        <w:t>Alinity i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微粒子化学发光免疫分析仪质控程序》</w:t>
      </w:r>
      <w:r>
        <w:rPr>
          <w:rFonts w:hint="eastAsia" w:ascii="宋体" w:hAnsi="宋体" w:cs="宋体"/>
          <w:color w:val="auto"/>
          <w:szCs w:val="21"/>
        </w:rPr>
        <w:t>。</w:t>
      </w:r>
    </w:p>
    <w:p w14:paraId="2A885EB2">
      <w:pPr>
        <w:numPr>
          <w:ilvl w:val="0"/>
          <w:numId w:val="4"/>
        </w:numPr>
        <w:autoSpaceDE w:val="0"/>
        <w:autoSpaceDN w:val="0"/>
        <w:adjustRightInd w:val="0"/>
        <w:spacing w:line="360" w:lineRule="auto"/>
        <w:jc w:val="both"/>
        <w:rPr>
          <w:rFonts w:hint="eastAsia" w:ascii="宋体" w:hAnsi="宋体" w:cs="宋体"/>
          <w:color w:val="auto"/>
          <w:szCs w:val="21"/>
        </w:rPr>
      </w:pPr>
      <w:r>
        <w:rPr>
          <w:rFonts w:ascii="宋体" w:hAnsi="宋体" w:cs="黑体"/>
          <w:color w:val="auto"/>
          <w:szCs w:val="21"/>
        </w:rPr>
        <w:t>2</w:t>
      </w:r>
      <w:r>
        <w:rPr>
          <w:rFonts w:hint="eastAsia" w:ascii="宋体" w:hAnsi="宋体" w:cs="黑体"/>
          <w:color w:val="auto"/>
          <w:szCs w:val="21"/>
          <w:lang w:val="en-US" w:eastAsia="zh-CN"/>
        </w:rPr>
        <w:t>3</w:t>
      </w:r>
      <w:r>
        <w:rPr>
          <w:rFonts w:ascii="宋体" w:hAnsi="宋体" w:cs="黑体"/>
          <w:color w:val="auto"/>
          <w:szCs w:val="21"/>
        </w:rPr>
        <w:t>.3</w:t>
      </w:r>
      <w:r>
        <w:rPr>
          <w:rFonts w:hint="eastAsia" w:ascii="宋体" w:hAnsi="宋体" w:cs="黑体"/>
          <w:color w:val="auto"/>
          <w:szCs w:val="21"/>
          <w:lang w:val="en-US" w:eastAsia="zh-CN"/>
        </w:rPr>
        <w:t>安亭</w:t>
      </w:r>
      <w:r>
        <w:rPr>
          <w:rFonts w:hint="eastAsia" w:ascii="宋体" w:hAnsi="宋体" w:cs="宋体"/>
          <w:color w:val="auto"/>
          <w:szCs w:val="21"/>
        </w:rPr>
        <w:t>医院检验科</w:t>
      </w:r>
      <w:r>
        <w:rPr>
          <w:rFonts w:ascii="宋体" w:hAnsi="宋体" w:cstheme="minorBidi"/>
          <w:color w:val="auto"/>
          <w:szCs w:val="21"/>
        </w:rPr>
        <w:t>编号</w:t>
      </w:r>
      <w:r>
        <w:rPr>
          <w:rFonts w:ascii="宋体" w:hAnsi="宋体" w:cs="宋体"/>
          <w:color w:val="auto"/>
          <w:szCs w:val="21"/>
          <w:highlight w:val="red"/>
        </w:rPr>
        <w:t>XXX</w:t>
      </w:r>
      <w:r>
        <w:rPr>
          <w:rFonts w:hint="eastAsia" w:ascii="宋体" w:hAnsi="宋体"/>
        </w:rPr>
        <w:t>《</w:t>
      </w:r>
      <w:r>
        <w:rPr>
          <w:rFonts w:hint="eastAsia" w:ascii="宋体" w:hAnsi="宋体"/>
          <w:lang w:val="en-GB"/>
        </w:rPr>
        <w:t>Alinity</w:t>
      </w:r>
      <w:r>
        <w:rPr>
          <w:rFonts w:hint="eastAsia" w:ascii="宋体" w:hAnsi="宋体"/>
          <w:lang w:val="en-US" w:eastAsia="zh-CN"/>
        </w:rPr>
        <w:t xml:space="preserve"> </w:t>
      </w:r>
      <w:r>
        <w:rPr>
          <w:rFonts w:hint="eastAsia" w:ascii="宋体" w:hAnsi="宋体"/>
          <w:lang w:val="en-GB"/>
        </w:rPr>
        <w:t>i全自动免疫分析仪标准操作规程</w:t>
      </w:r>
      <w:r>
        <w:rPr>
          <w:rFonts w:hint="eastAsia" w:ascii="宋体" w:hAnsi="宋体"/>
        </w:rPr>
        <w:t>》</w:t>
      </w:r>
      <w:r>
        <w:rPr>
          <w:rFonts w:hint="eastAsia" w:ascii="宋体" w:hAnsi="宋体" w:cs="宋体"/>
          <w:color w:val="auto"/>
          <w:szCs w:val="21"/>
        </w:rPr>
        <w:t>。</w:t>
      </w:r>
    </w:p>
    <w:p w14:paraId="11952F0B">
      <w:pPr>
        <w:keepNext w:val="0"/>
        <w:keepLines w:val="0"/>
        <w:widowControl/>
        <w:suppressLineNumbers w:val="0"/>
        <w:ind w:firstLine="420" w:firstLineChars="0"/>
        <w:jc w:val="both"/>
        <w:rPr>
          <w:rFonts w:hint="eastAsia" w:ascii="宋体" w:hAnsi="宋体" w:cs="宋体"/>
          <w:color w:val="auto"/>
          <w:szCs w:val="21"/>
        </w:rPr>
      </w:pPr>
      <w:r>
        <w:rPr>
          <w:rFonts w:ascii="宋体" w:hAnsi="宋体" w:cs="黑体"/>
          <w:color w:val="auto"/>
          <w:szCs w:val="21"/>
        </w:rPr>
        <w:t>2</w:t>
      </w:r>
      <w:r>
        <w:rPr>
          <w:rFonts w:hint="eastAsia" w:ascii="宋体" w:hAnsi="宋体" w:cs="黑体"/>
          <w:color w:val="auto"/>
          <w:szCs w:val="21"/>
          <w:lang w:val="en-US" w:eastAsia="zh-CN"/>
        </w:rPr>
        <w:t>3</w:t>
      </w:r>
      <w:r>
        <w:rPr>
          <w:rFonts w:ascii="宋体" w:hAnsi="宋体" w:cs="黑体"/>
          <w:color w:val="auto"/>
          <w:szCs w:val="21"/>
        </w:rPr>
        <w:t xml:space="preserve">.4 </w:t>
      </w:r>
      <w:r>
        <w:rPr>
          <w:rFonts w:hint="eastAsia" w:ascii="宋体" w:hAnsi="宋体" w:cs="宋体"/>
          <w:color w:val="auto"/>
          <w:szCs w:val="21"/>
          <w:lang w:val="en-US" w:eastAsia="zh-CN"/>
        </w:rPr>
        <w:t xml:space="preserve">ARCHITECT i </w:t>
      </w:r>
      <w:r>
        <w:rPr>
          <w:rFonts w:hint="default" w:ascii="宋体" w:hAnsi="宋体" w:cs="宋体"/>
          <w:color w:val="auto"/>
          <w:szCs w:val="21"/>
          <w:lang w:val="en-US" w:eastAsia="zh-CN"/>
        </w:rPr>
        <w:t>系统， Alinity i分析仪</w:t>
      </w:r>
      <w:r>
        <w:rPr>
          <w:rFonts w:hint="eastAsia" w:ascii="宋体" w:hAnsi="宋体" w:eastAsia="宋体" w:cs="宋体"/>
          <w:kern w:val="0"/>
          <w:sz w:val="21"/>
          <w:szCs w:val="21"/>
        </w:rPr>
        <w:t>乙型肝炎病毒e抗体</w:t>
      </w:r>
      <w:r>
        <w:rPr>
          <w:rFonts w:hint="eastAsia" w:ascii="宋体" w:hAnsi="宋体" w:cs="宋体"/>
          <w:color w:val="auto"/>
          <w:szCs w:val="21"/>
        </w:rPr>
        <w:t>测定试剂盒使用说明书</w:t>
      </w:r>
      <w:r>
        <w:rPr>
          <w:rFonts w:hint="eastAsia" w:ascii="宋体" w:hAnsi="宋体" w:cs="宋体"/>
          <w:color w:val="auto"/>
          <w:szCs w:val="21"/>
          <w:highlight w:val="none"/>
        </w:rPr>
        <w:t>。</w:t>
      </w:r>
    </w:p>
    <w:p w14:paraId="45DD0A59">
      <w:pPr>
        <w:bidi w:val="0"/>
        <w:rPr>
          <w:rFonts w:hint="eastAsia"/>
          <w:color w:val="FF0000"/>
          <w:lang w:val="en-US" w:eastAsia="zh-CN"/>
        </w:rPr>
      </w:pPr>
    </w:p>
    <w:p w14:paraId="11D023A2">
      <w:pPr>
        <w:tabs>
          <w:tab w:val="left" w:pos="6625"/>
        </w:tabs>
        <w:bidi w:val="0"/>
        <w:jc w:val="left"/>
        <w:rPr>
          <w:rFonts w:hint="eastAsia"/>
          <w:lang w:val="en-US" w:eastAsia="zh-CN"/>
        </w:rPr>
      </w:pPr>
      <w:r>
        <w:rPr>
          <w:rFonts w:hint="eastAsia"/>
          <w:color w:val="FF0000"/>
          <w:lang w:val="en-US" w:eastAsia="zh-CN"/>
        </w:rPr>
        <w:tab/>
      </w:r>
    </w:p>
    <w:sectPr>
      <w:headerReference r:id="rId3" w:type="default"/>
      <w:pgSz w:w="11906" w:h="16838"/>
      <w:pgMar w:top="2268" w:right="1418" w:bottom="1134" w:left="1418" w:header="794" w:footer="567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503050405090304"/>
    <w:charset w:val="A1"/>
    <w:family w:val="auto"/>
    <w:pitch w:val="default"/>
    <w:sig w:usb0="E0000AFF" w:usb1="00007843" w:usb2="00000001" w:usb3="00000000" w:csb0="400001BF" w:csb1="DFF7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Batang">
    <w:altName w:val="Apple SD Gothic Neo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等线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Apple SD Gothic Neo">
    <w:panose1 w:val="02000300000000000000"/>
    <w:charset w:val="81"/>
    <w:family w:val="auto"/>
    <w:pitch w:val="default"/>
    <w:sig w:usb0="00000203" w:usb1="21D12C10" w:usb2="00000010" w:usb3="00000000" w:csb0="00280005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tbl>
    <w:tblPr>
      <w:tblStyle w:val="13"/>
      <w:tblW w:w="5005" w:type="pct"/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6" w:space="0"/>
        <w:insideV w:val="single" w:color="000000" w:sz="6" w:space="0"/>
      </w:tblBorders>
      <w:tblLayout w:type="autofit"/>
      <w:tblCellMar>
        <w:top w:w="0" w:type="dxa"/>
        <w:left w:w="0" w:type="dxa"/>
        <w:bottom w:w="0" w:type="dxa"/>
        <w:right w:w="0" w:type="dxa"/>
      </w:tblCellMar>
    </w:tblPr>
    <w:tblGrid>
      <w:gridCol w:w="1438"/>
      <w:gridCol w:w="2260"/>
      <w:gridCol w:w="2407"/>
      <w:gridCol w:w="2984"/>
    </w:tblGrid>
    <w:tr w14:paraId="22DCD41B">
      <w:trPr>
        <w:trHeight w:val="301" w:hRule="exact"/>
      </w:trPr>
      <w:tc>
        <w:tcPr>
          <w:tcW w:w="791" w:type="pct"/>
          <w:vMerge w:val="restart"/>
          <w:tc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6" w:space="0"/>
          </w:tcBorders>
          <w:shd w:val="clear" w:color="auto" w:fill="FFFFFF"/>
          <w:vAlign w:val="center"/>
        </w:tcPr>
        <w:p w14:paraId="2678065E">
          <w:pPr>
            <w:rPr>
              <w:szCs w:val="24"/>
            </w:rPr>
          </w:pPr>
          <w:r>
            <w:drawing>
              <wp:inline distT="0" distB="0" distL="0" distR="0">
                <wp:extent cx="880745" cy="855345"/>
                <wp:effectExtent l="0" t="0" r="8255" b="8255"/>
                <wp:docPr id="1" name="图片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图片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82491" cy="85741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pic:spPr>
                    </pic:pic>
                  </a:graphicData>
                </a:graphic>
              </wp:inline>
            </w:drawing>
          </w:r>
        </w:p>
        <w:p w14:paraId="484579D5">
          <w:pPr>
            <w:autoSpaceDE w:val="0"/>
            <w:autoSpaceDN w:val="0"/>
            <w:adjustRightInd w:val="0"/>
            <w:spacing w:line="697" w:lineRule="exact"/>
            <w:rPr>
              <w:szCs w:val="24"/>
            </w:rPr>
          </w:pPr>
        </w:p>
      </w:tc>
      <w:tc>
        <w:tcPr>
          <w:tcW w:w="4208" w:type="pct"/>
          <w:gridSpan w:val="3"/>
          <w:tcBorders>
            <w:top w:val="single" w:color="000000" w:sz="4" w:space="0"/>
            <w:left w:val="single" w:color="000000" w:sz="6" w:space="0"/>
            <w:bottom w:val="single" w:color="000000" w:sz="6" w:space="0"/>
            <w:right w:val="single" w:color="000000" w:sz="4" w:space="0"/>
          </w:tcBorders>
          <w:shd w:val="clear" w:color="auto" w:fill="FFFFFF"/>
        </w:tcPr>
        <w:p w14:paraId="398D6BA7">
          <w:pPr>
            <w:tabs>
              <w:tab w:val="left" w:pos="2972"/>
            </w:tabs>
            <w:autoSpaceDE w:val="0"/>
            <w:autoSpaceDN w:val="0"/>
            <w:adjustRightInd w:val="0"/>
            <w:spacing w:line="244" w:lineRule="exact"/>
            <w:jc w:val="center"/>
            <w:rPr>
              <w:rFonts w:hint="eastAsia" w:ascii="黑体" w:hAnsi="黑体" w:eastAsia="黑体" w:cs="宋体"/>
              <w:color w:val="000000"/>
              <w:w w:val="99"/>
              <w:kern w:val="0"/>
              <w:sz w:val="28"/>
              <w:szCs w:val="28"/>
            </w:rPr>
          </w:pPr>
          <w:r>
            <w:rPr>
              <w:rFonts w:hint="eastAsia" w:ascii="黑体" w:hAnsi="黑体" w:eastAsia="黑体" w:cs="宋体"/>
              <w:color w:val="000000"/>
              <w:w w:val="99"/>
              <w:kern w:val="0"/>
              <w:sz w:val="24"/>
              <w:szCs w:val="24"/>
            </w:rPr>
            <w:t>嘉定区安亭医院生化免疫组作业指导书</w:t>
          </w:r>
        </w:p>
      </w:tc>
    </w:tr>
    <w:tr w14:paraId="16E87EBD">
      <w:trPr>
        <w:trHeight w:val="301" w:hRule="exact"/>
      </w:trPr>
      <w:tc>
        <w:tcPr>
          <w:tcW w:w="791" w:type="pct"/>
          <w:vMerge w:val="continue"/>
          <w:tc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6" w:space="0"/>
          </w:tcBorders>
          <w:vAlign w:val="center"/>
        </w:tcPr>
        <w:p w14:paraId="78F00589">
          <w:pPr>
            <w:widowControl/>
            <w:jc w:val="left"/>
            <w:rPr>
              <w:szCs w:val="24"/>
            </w:rPr>
          </w:pPr>
        </w:p>
      </w:tc>
      <w:tc>
        <w:tcPr>
          <w:tcW w:w="2567" w:type="pct"/>
          <w:gridSpan w:val="2"/>
          <w:tc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</w:tcBorders>
          <w:shd w:val="clear" w:color="auto" w:fill="FFFFFF"/>
        </w:tcPr>
        <w:p w14:paraId="01136DE3">
          <w:pPr>
            <w:tabs>
              <w:tab w:val="left" w:pos="4163"/>
            </w:tabs>
            <w:autoSpaceDE w:val="0"/>
            <w:autoSpaceDN w:val="0"/>
            <w:adjustRightInd w:val="0"/>
            <w:spacing w:line="245" w:lineRule="exact"/>
            <w:ind w:left="107"/>
            <w:jc w:val="left"/>
            <w:rPr>
              <w:rFonts w:ascii="宋体" w:hAnsi="Calibri" w:cs="宋体"/>
              <w:color w:val="000000"/>
              <w:w w:val="99"/>
              <w:kern w:val="0"/>
              <w:szCs w:val="21"/>
            </w:rPr>
          </w:pPr>
          <w:r>
            <w:rPr>
              <w:rFonts w:hint="eastAsia" w:ascii="宋体" w:hAnsi="Calibri" w:cs="宋体"/>
              <w:color w:val="000000"/>
              <w:w w:val="99"/>
              <w:kern w:val="0"/>
              <w:szCs w:val="21"/>
            </w:rPr>
            <w:t>文件标题：</w:t>
          </w:r>
          <w:r>
            <w:rPr>
              <w:rFonts w:hint="eastAsia" w:ascii="宋体" w:hAnsi="宋体" w:cs="宋体"/>
            </w:rPr>
            <w:t>乙型肝炎病毒e抗体标准操作规程</w:t>
          </w:r>
          <w:r>
            <w:rPr>
              <w:rFonts w:ascii="宋体" w:hAnsi="宋体" w:cs="宋体"/>
            </w:rPr>
            <w:t xml:space="preserve"> </w:t>
          </w:r>
        </w:p>
      </w:tc>
      <w:tc>
        <w:tcPr>
          <w:tcW w:w="1640" w:type="pct"/>
          <w:tc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4" w:space="0"/>
          </w:tcBorders>
          <w:shd w:val="clear" w:color="auto" w:fill="FFFFFF"/>
        </w:tcPr>
        <w:p w14:paraId="0BA05098">
          <w:pPr>
            <w:autoSpaceDE w:val="0"/>
            <w:autoSpaceDN w:val="0"/>
            <w:adjustRightInd w:val="0"/>
            <w:spacing w:line="245" w:lineRule="exact"/>
            <w:ind w:left="107"/>
            <w:jc w:val="left"/>
            <w:rPr>
              <w:rFonts w:hint="eastAsia" w:ascii="宋体" w:hAnsi="Calibri" w:cs="宋体"/>
              <w:color w:val="000000"/>
              <w:w w:val="99"/>
              <w:kern w:val="0"/>
              <w:szCs w:val="21"/>
            </w:rPr>
          </w:pPr>
          <w:r>
            <w:rPr>
              <w:rFonts w:hint="eastAsia" w:ascii="宋体" w:hAnsi="Calibri" w:cs="宋体"/>
              <w:color w:val="000000"/>
              <w:w w:val="99"/>
              <w:kern w:val="0"/>
              <w:szCs w:val="21"/>
            </w:rPr>
            <w:t>发行部门：</w:t>
          </w:r>
          <w:r>
            <w:rPr>
              <w:rFonts w:hint="eastAsia" w:ascii="宋体" w:hAnsi="Calibri" w:cs="宋体"/>
              <w:color w:val="000000"/>
              <w:w w:val="99"/>
              <w:kern w:val="0"/>
              <w:szCs w:val="21"/>
              <w:lang w:val="en-US" w:eastAsia="zh-CN"/>
            </w:rPr>
            <w:t>生化免疫</w:t>
          </w:r>
          <w:r>
            <w:rPr>
              <w:rFonts w:hint="eastAsia" w:ascii="宋体" w:hAnsi="Calibri" w:cs="宋体"/>
              <w:color w:val="000000"/>
              <w:w w:val="99"/>
              <w:kern w:val="0"/>
              <w:szCs w:val="21"/>
            </w:rPr>
            <w:t>组</w:t>
          </w:r>
        </w:p>
      </w:tc>
    </w:tr>
    <w:tr w14:paraId="6B629F50">
      <w:trPr>
        <w:trHeight w:val="301" w:hRule="exact"/>
      </w:trPr>
      <w:tc>
        <w:tcPr>
          <w:tcW w:w="791" w:type="pct"/>
          <w:vMerge w:val="continue"/>
          <w:tc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6" w:space="0"/>
          </w:tcBorders>
          <w:vAlign w:val="center"/>
        </w:tcPr>
        <w:p w14:paraId="21775459">
          <w:pPr>
            <w:widowControl/>
            <w:jc w:val="left"/>
            <w:rPr>
              <w:szCs w:val="24"/>
            </w:rPr>
          </w:pPr>
        </w:p>
      </w:tc>
      <w:tc>
        <w:tcPr>
          <w:tcW w:w="2567" w:type="pct"/>
          <w:gridSpan w:val="2"/>
          <w:tc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</w:tcBorders>
          <w:shd w:val="clear" w:color="auto" w:fill="FFFFFF"/>
        </w:tcPr>
        <w:p w14:paraId="1085CE4F">
          <w:pPr>
            <w:autoSpaceDE w:val="0"/>
            <w:autoSpaceDN w:val="0"/>
            <w:adjustRightInd w:val="0"/>
            <w:spacing w:line="243" w:lineRule="exact"/>
            <w:ind w:left="108"/>
            <w:jc w:val="left"/>
            <w:rPr>
              <w:rFonts w:hint="default" w:ascii="宋体" w:hAnsi="Calibri" w:eastAsia="宋体" w:cs="宋体"/>
              <w:color w:val="000000"/>
              <w:w w:val="99"/>
              <w:kern w:val="0"/>
              <w:szCs w:val="21"/>
              <w:lang w:val="en-US" w:eastAsia="zh-CN"/>
            </w:rPr>
          </w:pPr>
          <w:r>
            <w:rPr>
              <w:rFonts w:hint="eastAsia" w:ascii="宋体" w:hAnsi="Calibri" w:cs="宋体"/>
              <w:color w:val="000000"/>
              <w:w w:val="99"/>
              <w:kern w:val="0"/>
              <w:szCs w:val="21"/>
            </w:rPr>
            <w:t>文件编号：ATYY-JYK-</w:t>
          </w:r>
          <w:r>
            <w:rPr>
              <w:rFonts w:hint="default" w:ascii="宋体" w:hAnsi="Calibri" w:cs="宋体"/>
              <w:color w:val="000000"/>
              <w:w w:val="99"/>
              <w:kern w:val="0"/>
              <w:szCs w:val="21"/>
              <w:lang w:val="en-US" w:eastAsia="zh-CN"/>
            </w:rPr>
            <w:t>SM</w:t>
          </w:r>
          <w:r>
            <w:rPr>
              <w:rFonts w:hint="eastAsia" w:ascii="宋体" w:hAnsi="Calibri" w:cs="宋体"/>
              <w:color w:val="000000"/>
              <w:w w:val="99"/>
              <w:kern w:val="0"/>
              <w:szCs w:val="21"/>
            </w:rPr>
            <w:t>-</w:t>
          </w:r>
          <w:r>
            <w:rPr>
              <w:rFonts w:hint="eastAsia" w:ascii="宋体" w:hAnsi="Calibri" w:cs="宋体"/>
              <w:color w:val="000000"/>
              <w:w w:val="99"/>
              <w:kern w:val="0"/>
              <w:szCs w:val="21"/>
              <w:lang w:val="en-US" w:eastAsia="zh-CN"/>
            </w:rPr>
            <w:t>SOP-</w:t>
          </w:r>
          <w:r>
            <w:rPr>
              <w:rFonts w:hint="eastAsia" w:ascii="宋体" w:hAnsi="Calibri" w:cs="宋体"/>
              <w:color w:val="000000"/>
              <w:w w:val="99"/>
              <w:kern w:val="0"/>
              <w:szCs w:val="21"/>
            </w:rPr>
            <w:t>X</w:t>
          </w:r>
          <w:r>
            <w:rPr>
              <w:rFonts w:hint="eastAsia" w:ascii="宋体" w:hAnsi="Calibri" w:cs="宋体"/>
              <w:color w:val="000000"/>
              <w:w w:val="99"/>
              <w:kern w:val="0"/>
              <w:szCs w:val="21"/>
              <w:lang w:val="en-US" w:eastAsia="zh-CN"/>
            </w:rPr>
            <w:t>214</w:t>
          </w:r>
        </w:p>
      </w:tc>
      <w:tc>
        <w:tcPr>
          <w:tcW w:w="1640" w:type="pct"/>
          <w:tc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4" w:space="0"/>
          </w:tcBorders>
          <w:shd w:val="clear" w:color="auto" w:fill="FFFFFF"/>
        </w:tcPr>
        <w:p w14:paraId="4D0EFC85">
          <w:pPr>
            <w:autoSpaceDE w:val="0"/>
            <w:autoSpaceDN w:val="0"/>
            <w:adjustRightInd w:val="0"/>
            <w:spacing w:line="243" w:lineRule="exact"/>
            <w:ind w:left="107"/>
            <w:jc w:val="left"/>
            <w:rPr>
              <w:rFonts w:hint="default" w:ascii="宋体" w:hAnsi="Calibri" w:eastAsia="宋体" w:cs="宋体"/>
              <w:color w:val="000000"/>
              <w:w w:val="99"/>
              <w:kern w:val="0"/>
              <w:szCs w:val="21"/>
              <w:lang w:val="en-US" w:eastAsia="zh-CN"/>
            </w:rPr>
          </w:pPr>
          <w:r>
            <w:rPr>
              <w:rFonts w:hint="eastAsia" w:ascii="宋体" w:hAnsi="Calibri" w:cs="宋体"/>
              <w:color w:val="000000"/>
              <w:w w:val="99"/>
              <w:kern w:val="0"/>
              <w:szCs w:val="21"/>
            </w:rPr>
            <w:t>编 制 人：</w:t>
          </w:r>
          <w:r>
            <w:rPr>
              <w:rFonts w:hint="eastAsia" w:ascii="宋体" w:hAnsi="宋体" w:cs="宋体"/>
              <w:lang w:val="en-US" w:eastAsia="zh-CN"/>
            </w:rPr>
            <w:t>张湘豫</w:t>
          </w:r>
        </w:p>
      </w:tc>
    </w:tr>
    <w:tr w14:paraId="0C6381EA">
      <w:trPr>
        <w:trHeight w:val="301" w:hRule="exact"/>
      </w:trPr>
      <w:tc>
        <w:tcPr>
          <w:tcW w:w="791" w:type="pct"/>
          <w:vMerge w:val="continue"/>
          <w:tc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6" w:space="0"/>
          </w:tcBorders>
          <w:vAlign w:val="center"/>
        </w:tcPr>
        <w:p w14:paraId="62D1990E">
          <w:pPr>
            <w:widowControl/>
            <w:jc w:val="left"/>
            <w:rPr>
              <w:szCs w:val="24"/>
            </w:rPr>
          </w:pPr>
        </w:p>
      </w:tc>
      <w:tc>
        <w:tcPr>
          <w:tcW w:w="1243" w:type="pct"/>
          <w:tc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</w:tcBorders>
          <w:shd w:val="clear" w:color="auto" w:fill="FFFFFF"/>
        </w:tcPr>
        <w:p w14:paraId="26EF3967">
          <w:pPr>
            <w:autoSpaceDE w:val="0"/>
            <w:autoSpaceDN w:val="0"/>
            <w:adjustRightInd w:val="0"/>
            <w:spacing w:line="244" w:lineRule="exact"/>
            <w:ind w:left="107"/>
            <w:jc w:val="left"/>
            <w:rPr>
              <w:rFonts w:ascii="宋体" w:hAnsi="Calibri" w:cs="宋体"/>
              <w:color w:val="000000"/>
              <w:w w:val="99"/>
              <w:kern w:val="0"/>
              <w:szCs w:val="21"/>
            </w:rPr>
          </w:pPr>
          <w:r>
            <w:rPr>
              <w:rFonts w:hint="eastAsia" w:ascii="宋体" w:hAnsi="Calibri" w:cs="宋体"/>
              <w:color w:val="000000"/>
              <w:w w:val="99"/>
              <w:kern w:val="0"/>
              <w:szCs w:val="21"/>
            </w:rPr>
            <w:t>版本号：A</w:t>
          </w:r>
        </w:p>
      </w:tc>
      <w:tc>
        <w:tcPr>
          <w:tcW w:w="1323" w:type="pct"/>
          <w:tc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</w:tcBorders>
          <w:shd w:val="clear" w:color="auto" w:fill="FFFFFF"/>
        </w:tcPr>
        <w:p w14:paraId="4C5C4797">
          <w:pPr>
            <w:autoSpaceDE w:val="0"/>
            <w:autoSpaceDN w:val="0"/>
            <w:adjustRightInd w:val="0"/>
            <w:spacing w:line="244" w:lineRule="exact"/>
            <w:ind w:left="107"/>
            <w:jc w:val="left"/>
            <w:rPr>
              <w:rFonts w:ascii="宋体" w:hAnsi="Calibri" w:cs="宋体"/>
              <w:color w:val="000000"/>
              <w:w w:val="99"/>
              <w:kern w:val="0"/>
              <w:szCs w:val="21"/>
            </w:rPr>
          </w:pPr>
          <w:r>
            <w:rPr>
              <w:rFonts w:hint="eastAsia" w:ascii="宋体" w:hAnsi="Calibri" w:cs="宋体"/>
              <w:color w:val="000000"/>
              <w:w w:val="99"/>
              <w:kern w:val="0"/>
              <w:szCs w:val="21"/>
            </w:rPr>
            <w:t>修订号：0</w:t>
          </w:r>
        </w:p>
      </w:tc>
      <w:tc>
        <w:tcPr>
          <w:tcW w:w="1640" w:type="pct"/>
          <w:tc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4" w:space="0"/>
          </w:tcBorders>
          <w:shd w:val="clear" w:color="auto" w:fill="FFFFFF"/>
        </w:tcPr>
        <w:p w14:paraId="7DEEFB57">
          <w:pPr>
            <w:autoSpaceDE w:val="0"/>
            <w:autoSpaceDN w:val="0"/>
            <w:adjustRightInd w:val="0"/>
            <w:spacing w:line="244" w:lineRule="exact"/>
            <w:ind w:left="107"/>
            <w:jc w:val="left"/>
            <w:rPr>
              <w:rFonts w:hint="default" w:ascii="宋体" w:hAnsi="Calibri" w:eastAsia="宋体" w:cs="宋体"/>
              <w:color w:val="000000"/>
              <w:w w:val="99"/>
              <w:kern w:val="0"/>
              <w:szCs w:val="21"/>
              <w:lang w:val="en-US" w:eastAsia="zh-CN"/>
            </w:rPr>
          </w:pPr>
          <w:r>
            <w:rPr>
              <w:rFonts w:hint="eastAsia" w:ascii="宋体" w:hAnsi="Calibri" w:cs="宋体"/>
              <w:color w:val="000000"/>
              <w:w w:val="99"/>
              <w:kern w:val="0"/>
              <w:szCs w:val="21"/>
            </w:rPr>
            <w:t>审 核 人：</w:t>
          </w:r>
          <w:r>
            <w:rPr>
              <w:rFonts w:hint="eastAsia" w:ascii="宋体" w:hAnsi="宋体" w:cs="宋体"/>
            </w:rPr>
            <w:t>樊丽芳</w:t>
          </w:r>
        </w:p>
      </w:tc>
    </w:tr>
    <w:tr w14:paraId="7FEC66B8">
      <w:trPr>
        <w:trHeight w:val="301" w:hRule="exact"/>
      </w:trPr>
      <w:tc>
        <w:tcPr>
          <w:tcW w:w="791" w:type="pct"/>
          <w:vMerge w:val="continue"/>
          <w:tc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6" w:space="0"/>
          </w:tcBorders>
          <w:vAlign w:val="center"/>
        </w:tcPr>
        <w:p w14:paraId="403F0F31">
          <w:pPr>
            <w:widowControl/>
            <w:jc w:val="left"/>
            <w:rPr>
              <w:szCs w:val="24"/>
            </w:rPr>
          </w:pPr>
        </w:p>
      </w:tc>
      <w:tc>
        <w:tcPr>
          <w:tcW w:w="1243" w:type="pct"/>
          <w:tcBorders>
            <w:top w:val="single" w:color="000000" w:sz="6" w:space="0"/>
            <w:left w:val="single" w:color="000000" w:sz="6" w:space="0"/>
            <w:bottom w:val="single" w:color="000000" w:sz="4" w:space="0"/>
            <w:right w:val="single" w:color="000000" w:sz="6" w:space="0"/>
          </w:tcBorders>
          <w:shd w:val="clear" w:color="auto" w:fill="FFFFFF"/>
        </w:tcPr>
        <w:p w14:paraId="6803DE3D">
          <w:pPr>
            <w:autoSpaceDE w:val="0"/>
            <w:autoSpaceDN w:val="0"/>
            <w:adjustRightInd w:val="0"/>
            <w:spacing w:line="245" w:lineRule="exact"/>
            <w:ind w:left="107"/>
            <w:jc w:val="left"/>
            <w:rPr>
              <w:rFonts w:ascii="宋体" w:hAnsi="Calibri" w:cs="宋体"/>
              <w:color w:val="000000"/>
              <w:w w:val="99"/>
              <w:kern w:val="0"/>
              <w:szCs w:val="21"/>
            </w:rPr>
          </w:pPr>
          <w:r>
            <w:rPr>
              <w:rFonts w:hint="eastAsia" w:ascii="宋体" w:hAnsi="Calibri" w:cs="宋体"/>
              <w:color w:val="000000"/>
              <w:w w:val="99"/>
              <w:kern w:val="0"/>
              <w:szCs w:val="21"/>
            </w:rPr>
            <w:t>页码：第</w:t>
          </w:r>
          <w:r>
            <w:rPr>
              <w:rFonts w:hint="eastAsia" w:ascii="宋体" w:hAnsi="Calibri" w:cs="宋体"/>
              <w:color w:val="000000"/>
              <w:w w:val="99"/>
              <w:kern w:val="0"/>
              <w:szCs w:val="21"/>
            </w:rPr>
            <w:fldChar w:fldCharType="begin"/>
          </w:r>
          <w:r>
            <w:rPr>
              <w:rFonts w:hint="eastAsia" w:ascii="宋体" w:hAnsi="Calibri" w:cs="宋体"/>
              <w:color w:val="000000"/>
              <w:w w:val="99"/>
              <w:kern w:val="0"/>
              <w:szCs w:val="21"/>
            </w:rPr>
            <w:instrText xml:space="preserve"> PAGE   \* MERGEFORMAT </w:instrText>
          </w:r>
          <w:r>
            <w:rPr>
              <w:rFonts w:hint="eastAsia" w:ascii="宋体" w:hAnsi="Calibri" w:cs="宋体"/>
              <w:color w:val="000000"/>
              <w:w w:val="99"/>
              <w:kern w:val="0"/>
              <w:szCs w:val="21"/>
            </w:rPr>
            <w:fldChar w:fldCharType="separate"/>
          </w:r>
          <w:r>
            <w:rPr>
              <w:rFonts w:ascii="宋体" w:hAnsi="Calibri" w:cs="宋体"/>
              <w:color w:val="000000"/>
              <w:w w:val="99"/>
              <w:kern w:val="0"/>
              <w:szCs w:val="21"/>
            </w:rPr>
            <w:t>1</w:t>
          </w:r>
          <w:r>
            <w:rPr>
              <w:rFonts w:hint="eastAsia" w:ascii="宋体" w:hAnsi="Calibri" w:cs="宋体"/>
              <w:color w:val="000000"/>
              <w:w w:val="99"/>
              <w:kern w:val="0"/>
              <w:szCs w:val="21"/>
            </w:rPr>
            <w:fldChar w:fldCharType="end"/>
          </w:r>
          <w:r>
            <w:rPr>
              <w:rFonts w:hint="eastAsia" w:ascii="宋体" w:hAnsi="Calibri" w:cs="宋体"/>
              <w:color w:val="000000"/>
              <w:w w:val="99"/>
              <w:kern w:val="0"/>
              <w:szCs w:val="21"/>
            </w:rPr>
            <w:t>页，共1页</w:t>
          </w:r>
        </w:p>
      </w:tc>
      <w:tc>
        <w:tcPr>
          <w:tcW w:w="1323" w:type="pct"/>
          <w:tcBorders>
            <w:top w:val="single" w:color="000000" w:sz="6" w:space="0"/>
            <w:left w:val="single" w:color="000000" w:sz="6" w:space="0"/>
            <w:bottom w:val="single" w:color="000000" w:sz="4" w:space="0"/>
            <w:right w:val="single" w:color="000000" w:sz="6" w:space="0"/>
          </w:tcBorders>
          <w:shd w:val="clear" w:color="auto" w:fill="FFFFFF"/>
        </w:tcPr>
        <w:p w14:paraId="11000438">
          <w:pPr>
            <w:autoSpaceDE w:val="0"/>
            <w:autoSpaceDN w:val="0"/>
            <w:adjustRightInd w:val="0"/>
            <w:spacing w:line="245" w:lineRule="exact"/>
            <w:ind w:left="107"/>
            <w:jc w:val="left"/>
            <w:rPr>
              <w:rFonts w:ascii="宋体" w:hAnsi="Calibri" w:cs="宋体"/>
              <w:color w:val="000000"/>
              <w:w w:val="99"/>
              <w:kern w:val="0"/>
              <w:szCs w:val="21"/>
            </w:rPr>
          </w:pPr>
          <w:r>
            <w:rPr>
              <w:rFonts w:hint="eastAsia" w:ascii="宋体" w:hAnsi="Calibri" w:cs="宋体"/>
              <w:color w:val="000000"/>
              <w:w w:val="99"/>
              <w:kern w:val="0"/>
              <w:szCs w:val="21"/>
            </w:rPr>
            <w:t>生效日期：2025.01.01</w:t>
          </w:r>
        </w:p>
      </w:tc>
      <w:tc>
        <w:tcPr>
          <w:tcW w:w="1640" w:type="pct"/>
          <w:tcBorders>
            <w:top w:val="single" w:color="000000" w:sz="6" w:space="0"/>
            <w:left w:val="single" w:color="000000" w:sz="6" w:space="0"/>
            <w:bottom w:val="single" w:color="000000" w:sz="4" w:space="0"/>
            <w:right w:val="single" w:color="000000" w:sz="4" w:space="0"/>
          </w:tcBorders>
          <w:shd w:val="clear" w:color="auto" w:fill="FFFFFF"/>
        </w:tcPr>
        <w:p w14:paraId="1A9F63FC">
          <w:pPr>
            <w:autoSpaceDE w:val="0"/>
            <w:autoSpaceDN w:val="0"/>
            <w:adjustRightInd w:val="0"/>
            <w:spacing w:line="245" w:lineRule="exact"/>
            <w:ind w:left="107"/>
            <w:jc w:val="left"/>
            <w:rPr>
              <w:rFonts w:ascii="宋体" w:hAnsi="Calibri" w:cs="宋体"/>
              <w:color w:val="000000"/>
              <w:w w:val="99"/>
              <w:kern w:val="0"/>
              <w:szCs w:val="21"/>
            </w:rPr>
          </w:pPr>
          <w:r>
            <w:rPr>
              <w:rFonts w:hint="eastAsia" w:ascii="宋体" w:hAnsi="Calibri" w:cs="宋体"/>
              <w:color w:val="000000"/>
              <w:w w:val="99"/>
              <w:kern w:val="0"/>
              <w:szCs w:val="21"/>
            </w:rPr>
            <w:t>批 准 人：</w:t>
          </w:r>
        </w:p>
      </w:tc>
    </w:tr>
  </w:tbl>
  <w:p w14:paraId="55B7D35C">
    <w:pPr>
      <w:pStyle w:val="10"/>
      <w:jc w:val="both"/>
      <w:rPr>
        <w:sz w:val="21"/>
        <w:szCs w:val="21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B8E8CBC"/>
    <w:multiLevelType w:val="multilevel"/>
    <w:tmpl w:val="8B8E8CBC"/>
    <w:lvl w:ilvl="0" w:tentative="0">
      <w:start w:val="1"/>
      <w:numFmt w:val="decimal"/>
      <w:lvlText w:val=""/>
      <w:lvlJc w:val="left"/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1">
    <w:nsid w:val="B5ECC980"/>
    <w:multiLevelType w:val="multilevel"/>
    <w:tmpl w:val="B5ECC980"/>
    <w:lvl w:ilvl="0" w:tentative="0">
      <w:start w:val="1"/>
      <w:numFmt w:val="decimal"/>
      <w:lvlText w:val=""/>
      <w:lvlJc w:val="left"/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2">
    <w:nsid w:val="CA3A43FD"/>
    <w:multiLevelType w:val="multilevel"/>
    <w:tmpl w:val="CA3A43FD"/>
    <w:lvl w:ilvl="0" w:tentative="0">
      <w:start w:val="1"/>
      <w:numFmt w:val="decimal"/>
      <w:lvlText w:val=""/>
      <w:lvlJc w:val="left"/>
    </w:lvl>
    <w:lvl w:ilvl="1" w:tentative="0">
      <w:start w:val="1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3">
    <w:nsid w:val="6DC4AD01"/>
    <w:multiLevelType w:val="multilevel"/>
    <w:tmpl w:val="6DC4AD01"/>
    <w:lvl w:ilvl="0" w:tentative="0">
      <w:start w:val="1"/>
      <w:numFmt w:val="decimal"/>
      <w:lvlText w:val=""/>
      <w:lvlJc w:val="left"/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E1Y2FlZTUzZGNlODkxMzEzY2EwMGJjOTkwOTc3ZjgifQ=="/>
  </w:docVars>
  <w:rsids>
    <w:rsidRoot w:val="00332EF4"/>
    <w:rsid w:val="00010BA1"/>
    <w:rsid w:val="0002060F"/>
    <w:rsid w:val="00027351"/>
    <w:rsid w:val="000304F9"/>
    <w:rsid w:val="00054100"/>
    <w:rsid w:val="00055A4E"/>
    <w:rsid w:val="0005647D"/>
    <w:rsid w:val="00060A36"/>
    <w:rsid w:val="000638A3"/>
    <w:rsid w:val="0006428C"/>
    <w:rsid w:val="00066B64"/>
    <w:rsid w:val="00070D12"/>
    <w:rsid w:val="000765C4"/>
    <w:rsid w:val="00084137"/>
    <w:rsid w:val="000844AF"/>
    <w:rsid w:val="0009430A"/>
    <w:rsid w:val="00096B17"/>
    <w:rsid w:val="000A2A12"/>
    <w:rsid w:val="000A2AC0"/>
    <w:rsid w:val="000A3D39"/>
    <w:rsid w:val="000B714F"/>
    <w:rsid w:val="000C0A43"/>
    <w:rsid w:val="000C37C4"/>
    <w:rsid w:val="000C663E"/>
    <w:rsid w:val="000D0686"/>
    <w:rsid w:val="000D29FC"/>
    <w:rsid w:val="000F1760"/>
    <w:rsid w:val="000F66AD"/>
    <w:rsid w:val="001149D7"/>
    <w:rsid w:val="001233D4"/>
    <w:rsid w:val="0012569D"/>
    <w:rsid w:val="00135890"/>
    <w:rsid w:val="001366B4"/>
    <w:rsid w:val="00143A77"/>
    <w:rsid w:val="00152BB2"/>
    <w:rsid w:val="0015354A"/>
    <w:rsid w:val="00154DD8"/>
    <w:rsid w:val="00157B6E"/>
    <w:rsid w:val="001622DB"/>
    <w:rsid w:val="00162B38"/>
    <w:rsid w:val="00170012"/>
    <w:rsid w:val="00182CF2"/>
    <w:rsid w:val="00185F71"/>
    <w:rsid w:val="00193014"/>
    <w:rsid w:val="00194018"/>
    <w:rsid w:val="001940AA"/>
    <w:rsid w:val="001A4E76"/>
    <w:rsid w:val="001B1328"/>
    <w:rsid w:val="001C7F44"/>
    <w:rsid w:val="001D3931"/>
    <w:rsid w:val="001D424D"/>
    <w:rsid w:val="001D4528"/>
    <w:rsid w:val="001D465E"/>
    <w:rsid w:val="001E11D5"/>
    <w:rsid w:val="001E2064"/>
    <w:rsid w:val="001F32ED"/>
    <w:rsid w:val="001F5834"/>
    <w:rsid w:val="00206751"/>
    <w:rsid w:val="00207CCB"/>
    <w:rsid w:val="00210BA1"/>
    <w:rsid w:val="00212D28"/>
    <w:rsid w:val="00220E25"/>
    <w:rsid w:val="0022298A"/>
    <w:rsid w:val="00222DA3"/>
    <w:rsid w:val="00230C79"/>
    <w:rsid w:val="0023404E"/>
    <w:rsid w:val="0023562B"/>
    <w:rsid w:val="00243811"/>
    <w:rsid w:val="00244015"/>
    <w:rsid w:val="00247B26"/>
    <w:rsid w:val="00252913"/>
    <w:rsid w:val="00252ADF"/>
    <w:rsid w:val="002538BD"/>
    <w:rsid w:val="00254B9E"/>
    <w:rsid w:val="002623D0"/>
    <w:rsid w:val="00262E19"/>
    <w:rsid w:val="00266AB4"/>
    <w:rsid w:val="00270C24"/>
    <w:rsid w:val="0027624E"/>
    <w:rsid w:val="002770F2"/>
    <w:rsid w:val="00286AC8"/>
    <w:rsid w:val="00290EBA"/>
    <w:rsid w:val="002951B4"/>
    <w:rsid w:val="0029527C"/>
    <w:rsid w:val="002A6574"/>
    <w:rsid w:val="002A7792"/>
    <w:rsid w:val="002B4897"/>
    <w:rsid w:val="002B6842"/>
    <w:rsid w:val="002C18EA"/>
    <w:rsid w:val="002C79F3"/>
    <w:rsid w:val="002E1083"/>
    <w:rsid w:val="002E5972"/>
    <w:rsid w:val="002E62E7"/>
    <w:rsid w:val="002F0D58"/>
    <w:rsid w:val="002F4DF3"/>
    <w:rsid w:val="002F6381"/>
    <w:rsid w:val="002F79EA"/>
    <w:rsid w:val="00306CCD"/>
    <w:rsid w:val="0031367E"/>
    <w:rsid w:val="00315BFA"/>
    <w:rsid w:val="003217BD"/>
    <w:rsid w:val="00323261"/>
    <w:rsid w:val="00326426"/>
    <w:rsid w:val="00326517"/>
    <w:rsid w:val="00332EF4"/>
    <w:rsid w:val="00333A2A"/>
    <w:rsid w:val="00335C01"/>
    <w:rsid w:val="00335F4F"/>
    <w:rsid w:val="003374AE"/>
    <w:rsid w:val="00340D38"/>
    <w:rsid w:val="00343130"/>
    <w:rsid w:val="003464BE"/>
    <w:rsid w:val="0035208B"/>
    <w:rsid w:val="003610F4"/>
    <w:rsid w:val="0036394E"/>
    <w:rsid w:val="00365782"/>
    <w:rsid w:val="003779E0"/>
    <w:rsid w:val="003813A7"/>
    <w:rsid w:val="00384940"/>
    <w:rsid w:val="003A06EC"/>
    <w:rsid w:val="003A1EC9"/>
    <w:rsid w:val="003A44FA"/>
    <w:rsid w:val="003A7F64"/>
    <w:rsid w:val="003B1369"/>
    <w:rsid w:val="003C6B2C"/>
    <w:rsid w:val="003E03C2"/>
    <w:rsid w:val="003E0508"/>
    <w:rsid w:val="003F03C3"/>
    <w:rsid w:val="003F3E3C"/>
    <w:rsid w:val="003F4B5A"/>
    <w:rsid w:val="00405380"/>
    <w:rsid w:val="004071AC"/>
    <w:rsid w:val="0042006D"/>
    <w:rsid w:val="00422F08"/>
    <w:rsid w:val="00426A42"/>
    <w:rsid w:val="00432223"/>
    <w:rsid w:val="00434280"/>
    <w:rsid w:val="00434BF1"/>
    <w:rsid w:val="00440130"/>
    <w:rsid w:val="00442DDA"/>
    <w:rsid w:val="0045015E"/>
    <w:rsid w:val="00452A85"/>
    <w:rsid w:val="00456A09"/>
    <w:rsid w:val="00456F42"/>
    <w:rsid w:val="00460591"/>
    <w:rsid w:val="00464941"/>
    <w:rsid w:val="004670A3"/>
    <w:rsid w:val="00483557"/>
    <w:rsid w:val="004875FF"/>
    <w:rsid w:val="00491683"/>
    <w:rsid w:val="00492398"/>
    <w:rsid w:val="00492A03"/>
    <w:rsid w:val="004959D7"/>
    <w:rsid w:val="004A0C3B"/>
    <w:rsid w:val="004A7209"/>
    <w:rsid w:val="004A7E46"/>
    <w:rsid w:val="004B1EA1"/>
    <w:rsid w:val="004B60CF"/>
    <w:rsid w:val="004C15A0"/>
    <w:rsid w:val="004D08FF"/>
    <w:rsid w:val="004D36C6"/>
    <w:rsid w:val="004D780E"/>
    <w:rsid w:val="004E0206"/>
    <w:rsid w:val="004E5CDF"/>
    <w:rsid w:val="0050006A"/>
    <w:rsid w:val="0051001A"/>
    <w:rsid w:val="00510D6E"/>
    <w:rsid w:val="00513669"/>
    <w:rsid w:val="00515078"/>
    <w:rsid w:val="0051572C"/>
    <w:rsid w:val="0051765C"/>
    <w:rsid w:val="005237FC"/>
    <w:rsid w:val="005305B0"/>
    <w:rsid w:val="00531B11"/>
    <w:rsid w:val="0053382A"/>
    <w:rsid w:val="005424CC"/>
    <w:rsid w:val="00550217"/>
    <w:rsid w:val="00553D0F"/>
    <w:rsid w:val="00553F2A"/>
    <w:rsid w:val="00555EA5"/>
    <w:rsid w:val="005616C2"/>
    <w:rsid w:val="00561F54"/>
    <w:rsid w:val="00563BE9"/>
    <w:rsid w:val="00564398"/>
    <w:rsid w:val="00567F37"/>
    <w:rsid w:val="00570CD8"/>
    <w:rsid w:val="00572897"/>
    <w:rsid w:val="00575440"/>
    <w:rsid w:val="0057547A"/>
    <w:rsid w:val="005767F4"/>
    <w:rsid w:val="005851CD"/>
    <w:rsid w:val="005924AB"/>
    <w:rsid w:val="005A2B78"/>
    <w:rsid w:val="005A3C40"/>
    <w:rsid w:val="005A7FC1"/>
    <w:rsid w:val="005B0B02"/>
    <w:rsid w:val="005B110B"/>
    <w:rsid w:val="005C42AE"/>
    <w:rsid w:val="005C6E3E"/>
    <w:rsid w:val="005D3D9C"/>
    <w:rsid w:val="005D3E69"/>
    <w:rsid w:val="005D6B6F"/>
    <w:rsid w:val="005E3BDD"/>
    <w:rsid w:val="005F1F67"/>
    <w:rsid w:val="00601960"/>
    <w:rsid w:val="00634B1A"/>
    <w:rsid w:val="00636FF2"/>
    <w:rsid w:val="00637890"/>
    <w:rsid w:val="00641814"/>
    <w:rsid w:val="00654311"/>
    <w:rsid w:val="00665BB9"/>
    <w:rsid w:val="00671F1B"/>
    <w:rsid w:val="00673ECE"/>
    <w:rsid w:val="0067437E"/>
    <w:rsid w:val="006745D9"/>
    <w:rsid w:val="006751B3"/>
    <w:rsid w:val="006801D2"/>
    <w:rsid w:val="006977D0"/>
    <w:rsid w:val="006A2D88"/>
    <w:rsid w:val="006A4505"/>
    <w:rsid w:val="006A7426"/>
    <w:rsid w:val="006B3702"/>
    <w:rsid w:val="006B3D22"/>
    <w:rsid w:val="006C1A82"/>
    <w:rsid w:val="006C2F1D"/>
    <w:rsid w:val="006C498F"/>
    <w:rsid w:val="006C7255"/>
    <w:rsid w:val="006D036F"/>
    <w:rsid w:val="006D3308"/>
    <w:rsid w:val="006E145D"/>
    <w:rsid w:val="006E1DB1"/>
    <w:rsid w:val="006E38E4"/>
    <w:rsid w:val="006F07FB"/>
    <w:rsid w:val="006F5A07"/>
    <w:rsid w:val="006F5E17"/>
    <w:rsid w:val="006F6E46"/>
    <w:rsid w:val="006F7C8C"/>
    <w:rsid w:val="00715870"/>
    <w:rsid w:val="00715D70"/>
    <w:rsid w:val="00716D52"/>
    <w:rsid w:val="00722870"/>
    <w:rsid w:val="00727432"/>
    <w:rsid w:val="00736302"/>
    <w:rsid w:val="0074066F"/>
    <w:rsid w:val="00747210"/>
    <w:rsid w:val="00750CF7"/>
    <w:rsid w:val="00770F1A"/>
    <w:rsid w:val="00775B17"/>
    <w:rsid w:val="00776379"/>
    <w:rsid w:val="00783FAD"/>
    <w:rsid w:val="00784B6C"/>
    <w:rsid w:val="0079725A"/>
    <w:rsid w:val="00797F8B"/>
    <w:rsid w:val="007A3043"/>
    <w:rsid w:val="007A3803"/>
    <w:rsid w:val="007A5A44"/>
    <w:rsid w:val="007A7D26"/>
    <w:rsid w:val="007B15F6"/>
    <w:rsid w:val="007B5940"/>
    <w:rsid w:val="007B628E"/>
    <w:rsid w:val="007B7616"/>
    <w:rsid w:val="007C294D"/>
    <w:rsid w:val="007D3381"/>
    <w:rsid w:val="007D338A"/>
    <w:rsid w:val="007D4F70"/>
    <w:rsid w:val="007E231B"/>
    <w:rsid w:val="007F1705"/>
    <w:rsid w:val="007F1B61"/>
    <w:rsid w:val="007F2679"/>
    <w:rsid w:val="007F4F9B"/>
    <w:rsid w:val="0080213C"/>
    <w:rsid w:val="008029EF"/>
    <w:rsid w:val="00805F0B"/>
    <w:rsid w:val="00810404"/>
    <w:rsid w:val="00811F4F"/>
    <w:rsid w:val="00812243"/>
    <w:rsid w:val="00814030"/>
    <w:rsid w:val="00820D0E"/>
    <w:rsid w:val="00827747"/>
    <w:rsid w:val="00837A10"/>
    <w:rsid w:val="008432E3"/>
    <w:rsid w:val="008536FA"/>
    <w:rsid w:val="00854930"/>
    <w:rsid w:val="008611CE"/>
    <w:rsid w:val="008805EF"/>
    <w:rsid w:val="008853CC"/>
    <w:rsid w:val="00892602"/>
    <w:rsid w:val="0089368D"/>
    <w:rsid w:val="0089594A"/>
    <w:rsid w:val="008A3895"/>
    <w:rsid w:val="008B4950"/>
    <w:rsid w:val="008B5229"/>
    <w:rsid w:val="008C3D8F"/>
    <w:rsid w:val="008C54F2"/>
    <w:rsid w:val="008D0843"/>
    <w:rsid w:val="008D7691"/>
    <w:rsid w:val="008E1498"/>
    <w:rsid w:val="008F1931"/>
    <w:rsid w:val="008F1AE1"/>
    <w:rsid w:val="008F7F7E"/>
    <w:rsid w:val="00901282"/>
    <w:rsid w:val="0090448C"/>
    <w:rsid w:val="00921AD6"/>
    <w:rsid w:val="009351DE"/>
    <w:rsid w:val="00940C35"/>
    <w:rsid w:val="00941B6B"/>
    <w:rsid w:val="009451F4"/>
    <w:rsid w:val="00945ECE"/>
    <w:rsid w:val="0094701E"/>
    <w:rsid w:val="0094709D"/>
    <w:rsid w:val="009500FB"/>
    <w:rsid w:val="00951B39"/>
    <w:rsid w:val="00956F4B"/>
    <w:rsid w:val="00962A9A"/>
    <w:rsid w:val="00965D8C"/>
    <w:rsid w:val="0096748F"/>
    <w:rsid w:val="00976E36"/>
    <w:rsid w:val="00981ACF"/>
    <w:rsid w:val="00983450"/>
    <w:rsid w:val="00990E40"/>
    <w:rsid w:val="0099182C"/>
    <w:rsid w:val="009A5C04"/>
    <w:rsid w:val="009A76E2"/>
    <w:rsid w:val="009B068E"/>
    <w:rsid w:val="009B1EC6"/>
    <w:rsid w:val="009C1390"/>
    <w:rsid w:val="009D516B"/>
    <w:rsid w:val="009D530D"/>
    <w:rsid w:val="009D655B"/>
    <w:rsid w:val="009E5646"/>
    <w:rsid w:val="009E56FD"/>
    <w:rsid w:val="00A07F1B"/>
    <w:rsid w:val="00A125D7"/>
    <w:rsid w:val="00A16D2C"/>
    <w:rsid w:val="00A27481"/>
    <w:rsid w:val="00A322EC"/>
    <w:rsid w:val="00A4088B"/>
    <w:rsid w:val="00A43D83"/>
    <w:rsid w:val="00A61D11"/>
    <w:rsid w:val="00A62074"/>
    <w:rsid w:val="00A65318"/>
    <w:rsid w:val="00A7742E"/>
    <w:rsid w:val="00A81292"/>
    <w:rsid w:val="00A82065"/>
    <w:rsid w:val="00A87A17"/>
    <w:rsid w:val="00A87B1F"/>
    <w:rsid w:val="00A90B32"/>
    <w:rsid w:val="00A91DB8"/>
    <w:rsid w:val="00AA0E90"/>
    <w:rsid w:val="00AA5DF0"/>
    <w:rsid w:val="00AA5E56"/>
    <w:rsid w:val="00AA6945"/>
    <w:rsid w:val="00AA6D76"/>
    <w:rsid w:val="00AB563F"/>
    <w:rsid w:val="00AC2A5A"/>
    <w:rsid w:val="00AD2A14"/>
    <w:rsid w:val="00AE0E2E"/>
    <w:rsid w:val="00B012EA"/>
    <w:rsid w:val="00B03F92"/>
    <w:rsid w:val="00B0406F"/>
    <w:rsid w:val="00B064D9"/>
    <w:rsid w:val="00B06D68"/>
    <w:rsid w:val="00B07D63"/>
    <w:rsid w:val="00B10DD8"/>
    <w:rsid w:val="00B31337"/>
    <w:rsid w:val="00B32806"/>
    <w:rsid w:val="00B34453"/>
    <w:rsid w:val="00B356B6"/>
    <w:rsid w:val="00B37302"/>
    <w:rsid w:val="00B41381"/>
    <w:rsid w:val="00B41F21"/>
    <w:rsid w:val="00B45DE5"/>
    <w:rsid w:val="00B47F9F"/>
    <w:rsid w:val="00B65A0E"/>
    <w:rsid w:val="00B707AA"/>
    <w:rsid w:val="00B7775D"/>
    <w:rsid w:val="00B77C1C"/>
    <w:rsid w:val="00B82437"/>
    <w:rsid w:val="00B90080"/>
    <w:rsid w:val="00B90BA3"/>
    <w:rsid w:val="00B91DD4"/>
    <w:rsid w:val="00B94B16"/>
    <w:rsid w:val="00BA06BB"/>
    <w:rsid w:val="00BA44B7"/>
    <w:rsid w:val="00BA4814"/>
    <w:rsid w:val="00BB2DF9"/>
    <w:rsid w:val="00BB3919"/>
    <w:rsid w:val="00BC31DB"/>
    <w:rsid w:val="00BC55FE"/>
    <w:rsid w:val="00BC755A"/>
    <w:rsid w:val="00BF3870"/>
    <w:rsid w:val="00C125C2"/>
    <w:rsid w:val="00C13AA7"/>
    <w:rsid w:val="00C17052"/>
    <w:rsid w:val="00C20CCC"/>
    <w:rsid w:val="00C22097"/>
    <w:rsid w:val="00C246F5"/>
    <w:rsid w:val="00C31C92"/>
    <w:rsid w:val="00C35AA5"/>
    <w:rsid w:val="00C3729C"/>
    <w:rsid w:val="00C4415B"/>
    <w:rsid w:val="00C45A9C"/>
    <w:rsid w:val="00C50976"/>
    <w:rsid w:val="00C56BF6"/>
    <w:rsid w:val="00C62374"/>
    <w:rsid w:val="00C65B76"/>
    <w:rsid w:val="00C87EF7"/>
    <w:rsid w:val="00C90BAF"/>
    <w:rsid w:val="00C933B3"/>
    <w:rsid w:val="00C97EE7"/>
    <w:rsid w:val="00CA7A94"/>
    <w:rsid w:val="00CB06DF"/>
    <w:rsid w:val="00CB1012"/>
    <w:rsid w:val="00CB177C"/>
    <w:rsid w:val="00CB3288"/>
    <w:rsid w:val="00CB438F"/>
    <w:rsid w:val="00CD1A9B"/>
    <w:rsid w:val="00CD2C31"/>
    <w:rsid w:val="00CD4D6C"/>
    <w:rsid w:val="00CE1A7D"/>
    <w:rsid w:val="00CE210C"/>
    <w:rsid w:val="00CE29AA"/>
    <w:rsid w:val="00CE4C4D"/>
    <w:rsid w:val="00CF0231"/>
    <w:rsid w:val="00CF6545"/>
    <w:rsid w:val="00D04786"/>
    <w:rsid w:val="00D04D4F"/>
    <w:rsid w:val="00D173E7"/>
    <w:rsid w:val="00D2244E"/>
    <w:rsid w:val="00D23B41"/>
    <w:rsid w:val="00D53348"/>
    <w:rsid w:val="00D55E9C"/>
    <w:rsid w:val="00D62AAD"/>
    <w:rsid w:val="00D64C1E"/>
    <w:rsid w:val="00D65263"/>
    <w:rsid w:val="00D67EFF"/>
    <w:rsid w:val="00D7367A"/>
    <w:rsid w:val="00D739D0"/>
    <w:rsid w:val="00D8242B"/>
    <w:rsid w:val="00D9131B"/>
    <w:rsid w:val="00D94A84"/>
    <w:rsid w:val="00D971E1"/>
    <w:rsid w:val="00DA0CD4"/>
    <w:rsid w:val="00DA2FA0"/>
    <w:rsid w:val="00DB7A53"/>
    <w:rsid w:val="00DD416A"/>
    <w:rsid w:val="00DE29BE"/>
    <w:rsid w:val="00DE4F37"/>
    <w:rsid w:val="00DF639D"/>
    <w:rsid w:val="00E019CC"/>
    <w:rsid w:val="00E2529B"/>
    <w:rsid w:val="00E25B74"/>
    <w:rsid w:val="00E27FFA"/>
    <w:rsid w:val="00E3199B"/>
    <w:rsid w:val="00E3307D"/>
    <w:rsid w:val="00E45EF6"/>
    <w:rsid w:val="00E467C9"/>
    <w:rsid w:val="00E507B6"/>
    <w:rsid w:val="00E613E6"/>
    <w:rsid w:val="00E63718"/>
    <w:rsid w:val="00E67233"/>
    <w:rsid w:val="00E867E2"/>
    <w:rsid w:val="00E91859"/>
    <w:rsid w:val="00E9592B"/>
    <w:rsid w:val="00EB33D5"/>
    <w:rsid w:val="00EB5BF9"/>
    <w:rsid w:val="00EB7443"/>
    <w:rsid w:val="00EB7CD5"/>
    <w:rsid w:val="00EC7C1F"/>
    <w:rsid w:val="00ED0849"/>
    <w:rsid w:val="00ED1A28"/>
    <w:rsid w:val="00ED760D"/>
    <w:rsid w:val="00EE58E2"/>
    <w:rsid w:val="00EE6B72"/>
    <w:rsid w:val="00EF068A"/>
    <w:rsid w:val="00EF159A"/>
    <w:rsid w:val="00EF1E5A"/>
    <w:rsid w:val="00EF21BF"/>
    <w:rsid w:val="00EF3B45"/>
    <w:rsid w:val="00EF477B"/>
    <w:rsid w:val="00EF76F3"/>
    <w:rsid w:val="00F00D26"/>
    <w:rsid w:val="00F067F2"/>
    <w:rsid w:val="00F13C5E"/>
    <w:rsid w:val="00F26ABA"/>
    <w:rsid w:val="00F27613"/>
    <w:rsid w:val="00F3318C"/>
    <w:rsid w:val="00F50067"/>
    <w:rsid w:val="00F50663"/>
    <w:rsid w:val="00F60AE3"/>
    <w:rsid w:val="00F62706"/>
    <w:rsid w:val="00F6406C"/>
    <w:rsid w:val="00F719AA"/>
    <w:rsid w:val="00F71FCE"/>
    <w:rsid w:val="00F76634"/>
    <w:rsid w:val="00F845F3"/>
    <w:rsid w:val="00F91A38"/>
    <w:rsid w:val="00FA3CC2"/>
    <w:rsid w:val="00FB20F6"/>
    <w:rsid w:val="00FC712B"/>
    <w:rsid w:val="00FD0945"/>
    <w:rsid w:val="00FD0B43"/>
    <w:rsid w:val="00FD17CF"/>
    <w:rsid w:val="00FD2B28"/>
    <w:rsid w:val="00FD3EFD"/>
    <w:rsid w:val="00FE0B04"/>
    <w:rsid w:val="00FE3F68"/>
    <w:rsid w:val="00FE7072"/>
    <w:rsid w:val="00FF406A"/>
    <w:rsid w:val="00FF7624"/>
    <w:rsid w:val="01351051"/>
    <w:rsid w:val="03702E31"/>
    <w:rsid w:val="0506001C"/>
    <w:rsid w:val="057264AC"/>
    <w:rsid w:val="05911A48"/>
    <w:rsid w:val="06E33268"/>
    <w:rsid w:val="082D6EDB"/>
    <w:rsid w:val="08A00739"/>
    <w:rsid w:val="093C039E"/>
    <w:rsid w:val="0A7B4BFE"/>
    <w:rsid w:val="0C8E16BE"/>
    <w:rsid w:val="0CBA160A"/>
    <w:rsid w:val="0E564BC0"/>
    <w:rsid w:val="0EE943A1"/>
    <w:rsid w:val="1136791A"/>
    <w:rsid w:val="140627C6"/>
    <w:rsid w:val="16590D6F"/>
    <w:rsid w:val="190B48E9"/>
    <w:rsid w:val="193A2207"/>
    <w:rsid w:val="198C31CC"/>
    <w:rsid w:val="1A196854"/>
    <w:rsid w:val="1B174AA3"/>
    <w:rsid w:val="1BC3D6E4"/>
    <w:rsid w:val="1BD01CDC"/>
    <w:rsid w:val="1BEA426E"/>
    <w:rsid w:val="1E2468E7"/>
    <w:rsid w:val="1E2C4B39"/>
    <w:rsid w:val="1F6E5258"/>
    <w:rsid w:val="1FF922F5"/>
    <w:rsid w:val="21786DF7"/>
    <w:rsid w:val="21B66370"/>
    <w:rsid w:val="22C0487C"/>
    <w:rsid w:val="230322A3"/>
    <w:rsid w:val="24F81C8F"/>
    <w:rsid w:val="25BA40AE"/>
    <w:rsid w:val="267E3932"/>
    <w:rsid w:val="289B19CD"/>
    <w:rsid w:val="28D04376"/>
    <w:rsid w:val="29DF0939"/>
    <w:rsid w:val="2A2C7FF1"/>
    <w:rsid w:val="2ACE35F7"/>
    <w:rsid w:val="2B5B656A"/>
    <w:rsid w:val="2C5F0D8F"/>
    <w:rsid w:val="2D7B3137"/>
    <w:rsid w:val="2E93017E"/>
    <w:rsid w:val="2EAD646E"/>
    <w:rsid w:val="2ED00DAA"/>
    <w:rsid w:val="2F9E31D8"/>
    <w:rsid w:val="30016080"/>
    <w:rsid w:val="301414F4"/>
    <w:rsid w:val="3072267A"/>
    <w:rsid w:val="32674562"/>
    <w:rsid w:val="32F0684A"/>
    <w:rsid w:val="33CD5CEB"/>
    <w:rsid w:val="366227D0"/>
    <w:rsid w:val="37952335"/>
    <w:rsid w:val="38AB00F5"/>
    <w:rsid w:val="38BB09B7"/>
    <w:rsid w:val="39D84678"/>
    <w:rsid w:val="3B426332"/>
    <w:rsid w:val="3BDE5F11"/>
    <w:rsid w:val="3C794E08"/>
    <w:rsid w:val="3CB02637"/>
    <w:rsid w:val="3CF4125E"/>
    <w:rsid w:val="3CFC4845"/>
    <w:rsid w:val="3D496598"/>
    <w:rsid w:val="3DEE77A3"/>
    <w:rsid w:val="3DF781BF"/>
    <w:rsid w:val="3E9259FE"/>
    <w:rsid w:val="3EAD4C74"/>
    <w:rsid w:val="3F73B95F"/>
    <w:rsid w:val="40641249"/>
    <w:rsid w:val="40900DDE"/>
    <w:rsid w:val="409E7494"/>
    <w:rsid w:val="40DB57E4"/>
    <w:rsid w:val="43947AD2"/>
    <w:rsid w:val="45173DA8"/>
    <w:rsid w:val="4533011A"/>
    <w:rsid w:val="459D1510"/>
    <w:rsid w:val="45F75F15"/>
    <w:rsid w:val="473B028C"/>
    <w:rsid w:val="49DC0855"/>
    <w:rsid w:val="49DEB73E"/>
    <w:rsid w:val="4A4B3E05"/>
    <w:rsid w:val="4A9F624B"/>
    <w:rsid w:val="4B3A7F60"/>
    <w:rsid w:val="4B711D41"/>
    <w:rsid w:val="4C747A5E"/>
    <w:rsid w:val="4DABB08E"/>
    <w:rsid w:val="4E33621E"/>
    <w:rsid w:val="4F7B3E0D"/>
    <w:rsid w:val="50D36397"/>
    <w:rsid w:val="51646721"/>
    <w:rsid w:val="535B5879"/>
    <w:rsid w:val="537500B1"/>
    <w:rsid w:val="553E1DDE"/>
    <w:rsid w:val="57323D5B"/>
    <w:rsid w:val="5975DF32"/>
    <w:rsid w:val="5A2713C5"/>
    <w:rsid w:val="5B5402D8"/>
    <w:rsid w:val="5BE1146F"/>
    <w:rsid w:val="5BFC9E99"/>
    <w:rsid w:val="5C0558C7"/>
    <w:rsid w:val="5C7A51B6"/>
    <w:rsid w:val="5D224731"/>
    <w:rsid w:val="5D7FB3AD"/>
    <w:rsid w:val="5DD71AD0"/>
    <w:rsid w:val="5E2DBA5C"/>
    <w:rsid w:val="5EA619AA"/>
    <w:rsid w:val="5EBD2634"/>
    <w:rsid w:val="62452E7C"/>
    <w:rsid w:val="626F0CE7"/>
    <w:rsid w:val="65DD7790"/>
    <w:rsid w:val="66867B10"/>
    <w:rsid w:val="68DA6FE3"/>
    <w:rsid w:val="697B6DB5"/>
    <w:rsid w:val="6A466370"/>
    <w:rsid w:val="6B1A0BC6"/>
    <w:rsid w:val="6BA319BD"/>
    <w:rsid w:val="6BABB983"/>
    <w:rsid w:val="6BEBC8DE"/>
    <w:rsid w:val="6C7B71F3"/>
    <w:rsid w:val="6D196D62"/>
    <w:rsid w:val="6D262970"/>
    <w:rsid w:val="6E0C4C99"/>
    <w:rsid w:val="6E746F94"/>
    <w:rsid w:val="6F77FF27"/>
    <w:rsid w:val="6F851661"/>
    <w:rsid w:val="6FB1D465"/>
    <w:rsid w:val="6FF89FD5"/>
    <w:rsid w:val="70B8483E"/>
    <w:rsid w:val="714313D9"/>
    <w:rsid w:val="714A0C4D"/>
    <w:rsid w:val="71AC4E84"/>
    <w:rsid w:val="76DF1725"/>
    <w:rsid w:val="76FF1A09"/>
    <w:rsid w:val="77A244F9"/>
    <w:rsid w:val="79360180"/>
    <w:rsid w:val="7A7157E4"/>
    <w:rsid w:val="7AF3929F"/>
    <w:rsid w:val="7B6B3846"/>
    <w:rsid w:val="7C2E1453"/>
    <w:rsid w:val="7D6C302E"/>
    <w:rsid w:val="7DC25022"/>
    <w:rsid w:val="7E173C19"/>
    <w:rsid w:val="7E9FCA16"/>
    <w:rsid w:val="7EEE3CA1"/>
    <w:rsid w:val="7EF2F3F9"/>
    <w:rsid w:val="7F75ACA3"/>
    <w:rsid w:val="7FABBC93"/>
    <w:rsid w:val="7FBFD573"/>
    <w:rsid w:val="7FDF549E"/>
    <w:rsid w:val="7FEE9BDF"/>
    <w:rsid w:val="9E5D7E38"/>
    <w:rsid w:val="AD1FD70D"/>
    <w:rsid w:val="B3FF37AA"/>
    <w:rsid w:val="B7BFAD5D"/>
    <w:rsid w:val="C7FE5B01"/>
    <w:rsid w:val="D61F54DA"/>
    <w:rsid w:val="DAFB0FF9"/>
    <w:rsid w:val="DB7EF3CE"/>
    <w:rsid w:val="DDFD3A88"/>
    <w:rsid w:val="DFFFF6BB"/>
    <w:rsid w:val="E3BC33EF"/>
    <w:rsid w:val="E9F529A7"/>
    <w:rsid w:val="ECE69273"/>
    <w:rsid w:val="ED7CFFA9"/>
    <w:rsid w:val="EEB7132B"/>
    <w:rsid w:val="F66FF362"/>
    <w:rsid w:val="F7FAB92E"/>
    <w:rsid w:val="F995FA05"/>
    <w:rsid w:val="FCDB0E93"/>
    <w:rsid w:val="FD6BAF16"/>
    <w:rsid w:val="FF5DA117"/>
    <w:rsid w:val="FFAF3A1E"/>
    <w:rsid w:val="FFBE681B"/>
    <w:rsid w:val="FFFBF4C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nhideWhenUsed="0" w:uiPriority="1" w:semiHidden="0" w:name="heading 2" w:locked="1"/>
    <w:lsdException w:qFormat="1" w:unhideWhenUsed="0" w:uiPriority="99" w:semiHidden="0" w:name="heading 3" w:locked="1"/>
    <w:lsdException w:qFormat="1" w:uiPriority="9" w:name="heading 4" w:locked="1"/>
    <w:lsdException w:qFormat="1" w:uiPriority="9" w:name="heading 5" w:locked="1"/>
    <w:lsdException w:qFormat="1" w:uiPriority="9" w:name="heading 6" w:locked="1"/>
    <w:lsdException w:qFormat="1" w:uiPriority="9" w:name="heading 7" w:locked="1"/>
    <w:lsdException w:qFormat="1" w:uiPriority="9" w:name="heading 8" w:locked="1"/>
    <w:lsdException w:qFormat="1" w:uiPriority="9" w:name="heading 9" w:locked="1"/>
    <w:lsdException w:uiPriority="99" w:name="index 1" w:locked="1"/>
    <w:lsdException w:uiPriority="99" w:name="index 2" w:locked="1"/>
    <w:lsdException w:uiPriority="99" w:name="index 3" w:locked="1"/>
    <w:lsdException w:uiPriority="99" w:name="index 4" w:locked="1"/>
    <w:lsdException w:uiPriority="99" w:name="index 5" w:locked="1"/>
    <w:lsdException w:uiPriority="99" w:name="index 6" w:locked="1"/>
    <w:lsdException w:uiPriority="99" w:name="index 7" w:locked="1"/>
    <w:lsdException w:uiPriority="99" w:name="index 8" w:locked="1"/>
    <w:lsdException w:uiPriority="99" w:name="index 9" w:locked="1"/>
    <w:lsdException w:uiPriority="39" w:name="toc 1" w:locked="1"/>
    <w:lsdException w:uiPriority="39" w:name="toc 2" w:locked="1"/>
    <w:lsdException w:uiPriority="39" w:name="toc 3" w:locked="1"/>
    <w:lsdException w:uiPriority="39" w:name="toc 4" w:locked="1"/>
    <w:lsdException w:uiPriority="39" w:name="toc 5" w:locked="1"/>
    <w:lsdException w:uiPriority="39" w:name="toc 6" w:locked="1"/>
    <w:lsdException w:uiPriority="39" w:name="toc 7" w:locked="1"/>
    <w:lsdException w:uiPriority="39" w:name="toc 8" w:locked="1"/>
    <w:lsdException w:uiPriority="39" w:name="toc 9" w:locked="1"/>
    <w:lsdException w:uiPriority="99" w:name="Normal Indent" w:locked="1"/>
    <w:lsdException w:uiPriority="99" w:name="footnote text" w:locked="1"/>
    <w:lsdException w:qFormat="1" w:unhideWhenUsed="0" w:uiPriority="99" w:semiHidden="0" w:name="annotation text" w:locked="1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 w:locked="1"/>
    <w:lsdException w:qFormat="1" w:uiPriority="35" w:name="caption" w:locked="1"/>
    <w:lsdException w:uiPriority="99" w:name="table of figures" w:locked="1"/>
    <w:lsdException w:uiPriority="99" w:name="envelope address" w:locked="1"/>
    <w:lsdException w:uiPriority="99" w:name="envelope return" w:locked="1"/>
    <w:lsdException w:uiPriority="99" w:name="footnote reference" w:locked="1"/>
    <w:lsdException w:uiPriority="99" w:name="annotation reference" w:locked="1"/>
    <w:lsdException w:uiPriority="99" w:name="line number" w:locked="1"/>
    <w:lsdException w:uiPriority="99" w:name="page number" w:locked="1"/>
    <w:lsdException w:uiPriority="99" w:name="endnote reference" w:locked="1"/>
    <w:lsdException w:uiPriority="99" w:name="endnote text" w:locked="1"/>
    <w:lsdException w:uiPriority="99" w:name="table of authorities" w:locked="1"/>
    <w:lsdException w:uiPriority="99" w:name="macro" w:locked="1"/>
    <w:lsdException w:uiPriority="99" w:name="toa heading" w:locked="1"/>
    <w:lsdException w:uiPriority="99" w:name="List" w:locked="1"/>
    <w:lsdException w:uiPriority="99" w:name="List Bullet" w:locked="1"/>
    <w:lsdException w:uiPriority="99" w:name="List Number" w:locked="1"/>
    <w:lsdException w:uiPriority="99" w:name="List 2" w:locked="1"/>
    <w:lsdException w:uiPriority="99" w:name="List 3" w:locked="1"/>
    <w:lsdException w:uiPriority="99" w:name="List 4" w:locked="1"/>
    <w:lsdException w:uiPriority="99" w:name="List 5" w:locked="1"/>
    <w:lsdException w:uiPriority="99" w:name="List Bullet 2" w:locked="1"/>
    <w:lsdException w:uiPriority="99" w:name="List Bullet 3" w:locked="1"/>
    <w:lsdException w:uiPriority="99" w:name="List Bullet 4" w:locked="1"/>
    <w:lsdException w:uiPriority="99" w:name="List Bullet 5" w:locked="1"/>
    <w:lsdException w:uiPriority="99" w:name="List Number 2" w:locked="1"/>
    <w:lsdException w:uiPriority="99" w:name="List Number 3" w:locked="1"/>
    <w:lsdException w:uiPriority="99" w:name="List Number 4" w:locked="1"/>
    <w:lsdException w:uiPriority="99" w:name="List Number 5" w:locked="1"/>
    <w:lsdException w:qFormat="1" w:unhideWhenUsed="0" w:uiPriority="10" w:semiHidden="0" w:name="Title" w:locked="1"/>
    <w:lsdException w:uiPriority="99" w:name="Closing" w:locked="1"/>
    <w:lsdException w:uiPriority="99" w:name="Signature" w:locked="1"/>
    <w:lsdException w:qFormat="1" w:uiPriority="1" w:name="Default Paragraph Font"/>
    <w:lsdException w:qFormat="1" w:unhideWhenUsed="0" w:uiPriority="99" w:semiHidden="0" w:name="Body Text" w:locked="1"/>
    <w:lsdException w:unhideWhenUsed="0" w:uiPriority="0" w:semiHidden="0" w:name="Body Text Indent" w:locked="1"/>
    <w:lsdException w:uiPriority="99" w:name="List Continue" w:locked="1"/>
    <w:lsdException w:uiPriority="99" w:name="List Continue 2" w:locked="1"/>
    <w:lsdException w:uiPriority="99" w:name="List Continue 3" w:locked="1"/>
    <w:lsdException w:uiPriority="99" w:name="List Continue 4" w:locked="1"/>
    <w:lsdException w:uiPriority="99" w:name="List Continue 5" w:locked="1"/>
    <w:lsdException w:uiPriority="99" w:name="Message Header" w:locked="1"/>
    <w:lsdException w:qFormat="1" w:unhideWhenUsed="0" w:uiPriority="11" w:semiHidden="0" w:name="Subtitle" w:locked="1"/>
    <w:lsdException w:uiPriority="99" w:name="Salutation" w:locked="1"/>
    <w:lsdException w:uiPriority="99" w:name="Date" w:locked="1"/>
    <w:lsdException w:uiPriority="99" w:name="Body Text First Indent" w:locked="1"/>
    <w:lsdException w:qFormat="1" w:unhideWhenUsed="0" w:uiPriority="0" w:semiHidden="0" w:name="Body Text First Indent 2" w:locked="1"/>
    <w:lsdException w:uiPriority="99" w:name="Note Heading" w:locked="1"/>
    <w:lsdException w:uiPriority="99" w:name="Body Text 2" w:locked="1"/>
    <w:lsdException w:uiPriority="99" w:name="Body Text 3" w:locked="1"/>
    <w:lsdException w:uiPriority="99" w:name="Body Text Indent 2" w:locked="1"/>
    <w:lsdException w:uiPriority="99" w:name="Body Text Indent 3" w:locked="1"/>
    <w:lsdException w:uiPriority="99" w:name="Block Text" w:locked="1"/>
    <w:lsdException w:qFormat="1" w:unhideWhenUsed="0" w:uiPriority="99" w:semiHidden="0" w:name="Hyperlink" w:locked="1"/>
    <w:lsdException w:uiPriority="99" w:name="FollowedHyperlink" w:locked="1"/>
    <w:lsdException w:qFormat="1" w:unhideWhenUsed="0" w:uiPriority="22" w:semiHidden="0" w:name="Strong" w:locked="1"/>
    <w:lsdException w:qFormat="1" w:unhideWhenUsed="0" w:uiPriority="20" w:semiHidden="0" w:name="Emphasis" w:locked="1"/>
    <w:lsdException w:uiPriority="99" w:name="Document Map" w:locked="1"/>
    <w:lsdException w:uiPriority="99" w:name="Plain Text" w:locked="1"/>
    <w:lsdException w:uiPriority="99" w:name="E-mail Signature" w:locked="1"/>
    <w:lsdException w:qFormat="1" w:uiPriority="99" w:name="Normal (Web)" w:locked="1"/>
    <w:lsdException w:uiPriority="99" w:name="HTML Acronym" w:locked="1"/>
    <w:lsdException w:uiPriority="99" w:name="HTML Address" w:locked="1"/>
    <w:lsdException w:uiPriority="99" w:name="HTML Cite" w:locked="1"/>
    <w:lsdException w:uiPriority="99" w:name="HTML Code" w:locked="1"/>
    <w:lsdException w:uiPriority="99" w:name="HTML Definition" w:locked="1"/>
    <w:lsdException w:uiPriority="99" w:name="HTML Keyboard" w:locked="1"/>
    <w:lsdException w:uiPriority="99" w:name="HTML Preformatted" w:locked="1"/>
    <w:lsdException w:uiPriority="99" w:name="HTML Sample" w:locked="1"/>
    <w:lsdException w:uiPriority="99" w:name="HTML Typewriter" w:locked="1"/>
    <w:lsdException w:uiPriority="99" w:name="HTML Variable" w:locked="1"/>
    <w:lsdException w:qFormat="1" w:uiPriority="99" w:name="Normal Table"/>
    <w:lsdException w:uiPriority="99" w:name="annotation subject" w:locked="1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qFormat="1" w:unhideWhenUsed="0" w:uiPriority="99" w:semiHidden="0" w:name="Balloon Text"/>
    <w:lsdException w:qFormat="1" w:unhideWhenUsed="0" w:uiPriority="99" w:semiHidden="0" w:name="Table Grid"/>
    <w:lsdException w:uiPriority="99" w:name="Table Theme" w:locked="1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qFormat/>
    <w:locked/>
    <w:uiPriority w:val="0"/>
    <w:pPr>
      <w:keepNext/>
      <w:keepLines/>
      <w:spacing w:beforeLines="50" w:line="300" w:lineRule="auto"/>
      <w:ind w:left="420" w:right="-147" w:rightChars="-70"/>
      <w:jc w:val="center"/>
      <w:outlineLvl w:val="0"/>
    </w:pPr>
    <w:rPr>
      <w:rFonts w:ascii="宋体" w:hAnsi="宋体"/>
      <w:b/>
      <w:sz w:val="32"/>
      <w:szCs w:val="32"/>
    </w:rPr>
  </w:style>
  <w:style w:type="paragraph" w:styleId="3">
    <w:name w:val="heading 2"/>
    <w:basedOn w:val="1"/>
    <w:next w:val="1"/>
    <w:qFormat/>
    <w:locked/>
    <w:uiPriority w:val="1"/>
    <w:pPr>
      <w:spacing w:before="161"/>
      <w:ind w:left="1268" w:hanging="728"/>
      <w:outlineLvl w:val="1"/>
    </w:pPr>
    <w:rPr>
      <w:rFonts w:ascii="宋体" w:hAnsi="宋体" w:cs="宋体"/>
      <w:b/>
      <w:bCs/>
      <w:sz w:val="24"/>
      <w:szCs w:val="24"/>
      <w:lang w:eastAsia="en-US" w:bidi="en-US"/>
    </w:rPr>
  </w:style>
  <w:style w:type="paragraph" w:styleId="4">
    <w:name w:val="heading 3"/>
    <w:basedOn w:val="1"/>
    <w:next w:val="1"/>
    <w:link w:val="32"/>
    <w:qFormat/>
    <w:locked/>
    <w:uiPriority w:val="99"/>
    <w:pPr>
      <w:keepNext/>
      <w:spacing w:line="360" w:lineRule="auto"/>
      <w:outlineLvl w:val="2"/>
    </w:pPr>
    <w:rPr>
      <w:b/>
      <w:sz w:val="32"/>
    </w:rPr>
  </w:style>
  <w:style w:type="character" w:default="1" w:styleId="15">
    <w:name w:val="Default Paragraph Font"/>
    <w:semiHidden/>
    <w:unhideWhenUsed/>
    <w:qFormat/>
    <w:uiPriority w:val="1"/>
  </w:style>
  <w:style w:type="table" w:default="1" w:styleId="1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link w:val="34"/>
    <w:qFormat/>
    <w:locked/>
    <w:uiPriority w:val="99"/>
    <w:pPr>
      <w:jc w:val="center"/>
    </w:pPr>
    <w:rPr>
      <w:b/>
      <w:sz w:val="32"/>
      <w:szCs w:val="32"/>
    </w:rPr>
  </w:style>
  <w:style w:type="paragraph" w:styleId="6">
    <w:name w:val="Body Text"/>
    <w:basedOn w:val="1"/>
    <w:link w:val="29"/>
    <w:qFormat/>
    <w:locked/>
    <w:uiPriority w:val="99"/>
    <w:pPr>
      <w:shd w:val="clear" w:color="auto" w:fill="FFFFFF"/>
      <w:spacing w:before="660" w:after="420" w:line="240" w:lineRule="atLeast"/>
      <w:ind w:hanging="580"/>
      <w:jc w:val="left"/>
    </w:pPr>
    <w:rPr>
      <w:kern w:val="0"/>
      <w:sz w:val="24"/>
      <w:shd w:val="clear" w:color="auto" w:fill="FFFFFF"/>
    </w:rPr>
  </w:style>
  <w:style w:type="paragraph" w:styleId="7">
    <w:name w:val="Body Text Indent"/>
    <w:basedOn w:val="1"/>
    <w:locked/>
    <w:uiPriority w:val="0"/>
    <w:pPr>
      <w:spacing w:line="360" w:lineRule="exact"/>
      <w:ind w:right="-153" w:rightChars="-73" w:firstLine="480" w:firstLineChars="200"/>
    </w:pPr>
    <w:rPr>
      <w:rFonts w:ascii="Times New Roman" w:hAnsi="Times New Roman"/>
      <w:sz w:val="24"/>
      <w:szCs w:val="24"/>
    </w:rPr>
  </w:style>
  <w:style w:type="paragraph" w:styleId="8">
    <w:name w:val="Balloon Text"/>
    <w:basedOn w:val="1"/>
    <w:link w:val="18"/>
    <w:qFormat/>
    <w:uiPriority w:val="99"/>
    <w:rPr>
      <w:sz w:val="18"/>
      <w:szCs w:val="18"/>
    </w:rPr>
  </w:style>
  <w:style w:type="paragraph" w:styleId="9">
    <w:name w:val="footer"/>
    <w:basedOn w:val="1"/>
    <w:link w:val="22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0">
    <w:name w:val="header"/>
    <w:basedOn w:val="1"/>
    <w:link w:val="20"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1">
    <w:name w:val="Normal (Web)"/>
    <w:basedOn w:val="1"/>
    <w:semiHidden/>
    <w:unhideWhenUsed/>
    <w:qFormat/>
    <w:locked/>
    <w:uiPriority w:val="99"/>
    <w:pPr>
      <w:spacing w:beforeAutospacing="1" w:afterAutospacing="1"/>
      <w:jc w:val="left"/>
    </w:pPr>
    <w:rPr>
      <w:kern w:val="0"/>
      <w:sz w:val="24"/>
    </w:rPr>
  </w:style>
  <w:style w:type="paragraph" w:styleId="12">
    <w:name w:val="Body Text First Indent 2"/>
    <w:basedOn w:val="7"/>
    <w:qFormat/>
    <w:locked/>
    <w:uiPriority w:val="0"/>
    <w:pPr>
      <w:ind w:firstLine="420" w:firstLineChars="200"/>
    </w:pPr>
  </w:style>
  <w:style w:type="table" w:styleId="14">
    <w:name w:val="Table Grid"/>
    <w:basedOn w:val="13"/>
    <w:qFormat/>
    <w:uiPriority w:val="9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16">
    <w:name w:val="Hyperlink"/>
    <w:basedOn w:val="15"/>
    <w:qFormat/>
    <w:locked/>
    <w:uiPriority w:val="99"/>
    <w:rPr>
      <w:rFonts w:cs="Times New Roman"/>
      <w:color w:val="0000FF"/>
      <w:u w:val="single"/>
    </w:rPr>
  </w:style>
  <w:style w:type="character" w:customStyle="1" w:styleId="17">
    <w:name w:val="Heading 3 Char"/>
    <w:basedOn w:val="15"/>
    <w:semiHidden/>
    <w:qFormat/>
    <w:locked/>
    <w:uiPriority w:val="99"/>
    <w:rPr>
      <w:rFonts w:cs="Times New Roman"/>
      <w:b/>
      <w:bCs/>
      <w:sz w:val="32"/>
      <w:szCs w:val="32"/>
    </w:rPr>
  </w:style>
  <w:style w:type="character" w:customStyle="1" w:styleId="18">
    <w:name w:val="批注框文本 字符"/>
    <w:basedOn w:val="15"/>
    <w:link w:val="8"/>
    <w:qFormat/>
    <w:locked/>
    <w:uiPriority w:val="99"/>
    <w:rPr>
      <w:rFonts w:cs="Times New Roman"/>
      <w:kern w:val="2"/>
      <w:sz w:val="18"/>
      <w:szCs w:val="18"/>
    </w:rPr>
  </w:style>
  <w:style w:type="character" w:customStyle="1" w:styleId="19">
    <w:name w:val="Footer Char"/>
    <w:basedOn w:val="15"/>
    <w:semiHidden/>
    <w:qFormat/>
    <w:locked/>
    <w:uiPriority w:val="99"/>
    <w:rPr>
      <w:rFonts w:cs="Times New Roman"/>
      <w:sz w:val="18"/>
      <w:szCs w:val="18"/>
    </w:rPr>
  </w:style>
  <w:style w:type="character" w:customStyle="1" w:styleId="20">
    <w:name w:val="页眉 字符"/>
    <w:basedOn w:val="15"/>
    <w:link w:val="10"/>
    <w:semiHidden/>
    <w:qFormat/>
    <w:locked/>
    <w:uiPriority w:val="99"/>
    <w:rPr>
      <w:rFonts w:cs="Times New Roman"/>
      <w:sz w:val="18"/>
      <w:szCs w:val="18"/>
    </w:rPr>
  </w:style>
  <w:style w:type="paragraph" w:customStyle="1" w:styleId="21">
    <w:name w:val="列出段落1"/>
    <w:basedOn w:val="1"/>
    <w:qFormat/>
    <w:uiPriority w:val="99"/>
    <w:pPr>
      <w:ind w:firstLine="420" w:firstLineChars="200"/>
    </w:pPr>
  </w:style>
  <w:style w:type="character" w:customStyle="1" w:styleId="22">
    <w:name w:val="页脚 字符"/>
    <w:link w:val="9"/>
    <w:qFormat/>
    <w:locked/>
    <w:uiPriority w:val="99"/>
    <w:rPr>
      <w:rFonts w:eastAsia="宋体"/>
      <w:kern w:val="2"/>
      <w:sz w:val="18"/>
      <w:lang w:val="en-US" w:eastAsia="zh-CN"/>
    </w:rPr>
  </w:style>
  <w:style w:type="character" w:customStyle="1" w:styleId="23">
    <w:name w:val="目录_"/>
    <w:link w:val="24"/>
    <w:qFormat/>
    <w:locked/>
    <w:uiPriority w:val="99"/>
    <w:rPr>
      <w:rFonts w:ascii="宋体" w:eastAsia="宋体"/>
      <w:sz w:val="23"/>
      <w:shd w:val="clear" w:color="auto" w:fill="FFFFFF"/>
    </w:rPr>
  </w:style>
  <w:style w:type="paragraph" w:customStyle="1" w:styleId="24">
    <w:name w:val="目录1"/>
    <w:basedOn w:val="1"/>
    <w:link w:val="23"/>
    <w:qFormat/>
    <w:uiPriority w:val="99"/>
    <w:pPr>
      <w:shd w:val="clear" w:color="auto" w:fill="FFFFFF"/>
      <w:spacing w:before="540" w:after="180" w:line="240" w:lineRule="atLeast"/>
      <w:jc w:val="distribute"/>
    </w:pPr>
    <w:rPr>
      <w:rFonts w:ascii="宋体"/>
      <w:kern w:val="0"/>
      <w:sz w:val="23"/>
      <w:shd w:val="clear" w:color="auto" w:fill="FFFFFF"/>
    </w:rPr>
  </w:style>
  <w:style w:type="character" w:customStyle="1" w:styleId="25">
    <w:name w:val="Body Text Char1"/>
    <w:qFormat/>
    <w:locked/>
    <w:uiPriority w:val="99"/>
    <w:rPr>
      <w:rFonts w:ascii="宋体" w:eastAsia="宋体"/>
      <w:sz w:val="23"/>
      <w:shd w:val="clear" w:color="auto" w:fill="FFFFFF"/>
    </w:rPr>
  </w:style>
  <w:style w:type="character" w:customStyle="1" w:styleId="26">
    <w:name w:val="正文文本 + Batang"/>
    <w:qFormat/>
    <w:uiPriority w:val="99"/>
    <w:rPr>
      <w:rFonts w:ascii="Batang" w:hAnsi="宋体" w:eastAsia="Batang"/>
      <w:b/>
      <w:sz w:val="21"/>
      <w:shd w:val="clear" w:color="auto" w:fill="FFFFFF"/>
      <w:lang w:val="en-US" w:eastAsia="en-US"/>
    </w:rPr>
  </w:style>
  <w:style w:type="character" w:customStyle="1" w:styleId="27">
    <w:name w:val="Body Text Char"/>
    <w:qFormat/>
    <w:locked/>
    <w:uiPriority w:val="99"/>
    <w:rPr>
      <w:sz w:val="24"/>
      <w:shd w:val="clear" w:color="auto" w:fill="FFFFFF"/>
    </w:rPr>
  </w:style>
  <w:style w:type="character" w:customStyle="1" w:styleId="28">
    <w:name w:val="Body Text Char2"/>
    <w:basedOn w:val="15"/>
    <w:semiHidden/>
    <w:qFormat/>
    <w:locked/>
    <w:uiPriority w:val="99"/>
    <w:rPr>
      <w:rFonts w:cs="Times New Roman"/>
      <w:sz w:val="20"/>
      <w:szCs w:val="20"/>
    </w:rPr>
  </w:style>
  <w:style w:type="character" w:customStyle="1" w:styleId="29">
    <w:name w:val="正文文本 字符1"/>
    <w:basedOn w:val="15"/>
    <w:link w:val="6"/>
    <w:semiHidden/>
    <w:qFormat/>
    <w:locked/>
    <w:uiPriority w:val="99"/>
    <w:rPr>
      <w:rFonts w:cs="Times New Roman"/>
      <w:sz w:val="20"/>
      <w:szCs w:val="20"/>
    </w:rPr>
  </w:style>
  <w:style w:type="paragraph" w:customStyle="1" w:styleId="30">
    <w:name w:val="Normal_0"/>
    <w:qFormat/>
    <w:uiPriority w:val="99"/>
    <w:rPr>
      <w:rFonts w:ascii="Times New Roman" w:hAnsi="Times New Roman" w:eastAsia="等线" w:cs="Times New Roman"/>
      <w:sz w:val="24"/>
      <w:szCs w:val="24"/>
      <w:lang w:val="en-US" w:eastAsia="zh-CN" w:bidi="ar-SA"/>
    </w:rPr>
  </w:style>
  <w:style w:type="character" w:customStyle="1" w:styleId="31">
    <w:name w:val="正文文本 Char"/>
    <w:qFormat/>
    <w:uiPriority w:val="99"/>
    <w:rPr>
      <w:rFonts w:ascii="Times New Roman" w:hAnsi="Times New Roman"/>
      <w:kern w:val="2"/>
      <w:sz w:val="24"/>
    </w:rPr>
  </w:style>
  <w:style w:type="character" w:customStyle="1" w:styleId="32">
    <w:name w:val="标题 3 字符"/>
    <w:link w:val="4"/>
    <w:semiHidden/>
    <w:qFormat/>
    <w:locked/>
    <w:uiPriority w:val="99"/>
    <w:rPr>
      <w:rFonts w:eastAsia="宋体"/>
      <w:b/>
      <w:kern w:val="2"/>
      <w:sz w:val="32"/>
      <w:lang w:val="en-US" w:eastAsia="zh-CN"/>
    </w:rPr>
  </w:style>
  <w:style w:type="character" w:customStyle="1" w:styleId="33">
    <w:name w:val="正文文本 字符"/>
    <w:qFormat/>
    <w:locked/>
    <w:uiPriority w:val="99"/>
    <w:rPr>
      <w:rFonts w:ascii="宋体" w:eastAsia="宋体"/>
      <w:sz w:val="23"/>
      <w:shd w:val="clear" w:color="auto" w:fill="FFFFFF"/>
    </w:rPr>
  </w:style>
  <w:style w:type="character" w:customStyle="1" w:styleId="34">
    <w:name w:val="批注文字 字符"/>
    <w:basedOn w:val="15"/>
    <w:link w:val="5"/>
    <w:semiHidden/>
    <w:qFormat/>
    <w:locked/>
    <w:uiPriority w:val="99"/>
    <w:rPr>
      <w:rFonts w:cs="Times New Roman"/>
      <w:sz w:val="20"/>
      <w:szCs w:val="20"/>
    </w:rPr>
  </w:style>
  <w:style w:type="paragraph" w:customStyle="1" w:styleId="35">
    <w:name w:val="列表段落1"/>
    <w:basedOn w:val="1"/>
    <w:qFormat/>
    <w:uiPriority w:val="99"/>
    <w:pPr>
      <w:ind w:firstLine="420" w:firstLineChars="200"/>
    </w:pPr>
    <w:rPr>
      <w:sz w:val="24"/>
      <w:szCs w:val="24"/>
    </w:rPr>
  </w:style>
  <w:style w:type="paragraph" w:styleId="36">
    <w:name w:val="List Paragraph"/>
    <w:basedOn w:val="1"/>
    <w:qFormat/>
    <w:uiPriority w:val="99"/>
    <w:pPr>
      <w:ind w:firstLine="420" w:firstLineChars="200"/>
    </w:pPr>
  </w:style>
  <w:style w:type="paragraph" w:styleId="37">
    <w:name w:val="No Spacing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38">
    <w:name w:val="_Style 26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6</Pages>
  <Words>3165</Words>
  <Characters>4080</Characters>
  <Lines>30</Lines>
  <Paragraphs>8</Paragraphs>
  <TotalTime>0</TotalTime>
  <ScaleCrop>false</ScaleCrop>
  <LinksUpToDate>false</LinksUpToDate>
  <CharactersWithSpaces>4263</CharactersWithSpaces>
  <Application>WPS Office_6.11.0.8885_F1E327BC-269C-435d-A152-05C5408002CA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2023-03-28T07:48:00Z</dcterms:created>
  <dc:creator>微软用户</dc:creator>
  <cp:lastModifiedBy>Shea</cp:lastModifiedBy>
  <cp:lastPrinted>2024-10-20T03:06:00Z</cp:lastPrinted>
  <dcterms:modified xsi:type="dcterms:W3CDTF">2024-11-19T17:50:32Z</dcterms:modified>
  <dc:title>1 目的</dc:title>
  <cp:revision>44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2052-6.11.0.8885</vt:lpwstr>
  </property>
  <property fmtid="{D5CDD505-2E9C-101B-9397-08002B2CF9AE}" pid="3" name="ICV">
    <vt:lpwstr>014035E1FE303C28CA932567F446E6FB_43</vt:lpwstr>
  </property>
</Properties>
</file>